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91C1" w14:textId="77777777" w:rsidR="009B7752" w:rsidRDefault="009B7752" w:rsidP="009B7752">
      <w:pPr>
        <w:pStyle w:val="Default"/>
        <w:rPr>
          <w:color w:val="auto"/>
        </w:rPr>
      </w:pPr>
    </w:p>
    <w:p w14:paraId="4D8D8562" w14:textId="48E65F60" w:rsidR="00F158DF" w:rsidRDefault="009B7752" w:rsidP="00F158DF">
      <w:pPr>
        <w:pStyle w:val="Heading1"/>
        <w:jc w:val="center"/>
      </w:pPr>
      <w:r>
        <w:t xml:space="preserve">CENSIS Doctoral </w:t>
      </w:r>
      <w:r w:rsidR="002644A2">
        <w:t xml:space="preserve">Research </w:t>
      </w:r>
      <w:r>
        <w:t>Programme</w:t>
      </w:r>
    </w:p>
    <w:p w14:paraId="4942EC80" w14:textId="655E6436" w:rsidR="009B7752" w:rsidRDefault="009B7752" w:rsidP="00F158DF">
      <w:pPr>
        <w:pStyle w:val="Heading1"/>
        <w:jc w:val="center"/>
      </w:pPr>
      <w:r>
        <w:t>Call for Projects beginning AY 2020</w:t>
      </w:r>
      <w:r w:rsidR="00E538B0">
        <w:t>-2021</w:t>
      </w:r>
    </w:p>
    <w:p w14:paraId="2777B38F" w14:textId="77777777" w:rsidR="009B7752" w:rsidRDefault="009B7752" w:rsidP="009B7752">
      <w:pPr>
        <w:pStyle w:val="Default"/>
        <w:rPr>
          <w:b/>
          <w:bCs/>
          <w:color w:val="auto"/>
          <w:sz w:val="23"/>
          <w:szCs w:val="23"/>
        </w:rPr>
      </w:pPr>
    </w:p>
    <w:p w14:paraId="36302C3F" w14:textId="77777777" w:rsidR="009B7752" w:rsidRDefault="009B7752" w:rsidP="00F158DF">
      <w:pPr>
        <w:pStyle w:val="Heading2"/>
      </w:pPr>
      <w:r>
        <w:t xml:space="preserve">1. Introduction </w:t>
      </w:r>
    </w:p>
    <w:p w14:paraId="31D6DBE2" w14:textId="7166EEC4" w:rsidR="009B7752" w:rsidRDefault="009B7752" w:rsidP="00C95635">
      <w:pPr>
        <w:pStyle w:val="Default"/>
        <w:rPr>
          <w:color w:val="auto"/>
          <w:sz w:val="22"/>
          <w:szCs w:val="22"/>
        </w:rPr>
      </w:pPr>
      <w:r>
        <w:rPr>
          <w:color w:val="auto"/>
          <w:sz w:val="22"/>
          <w:szCs w:val="22"/>
        </w:rPr>
        <w:t>CENSIS</w:t>
      </w:r>
      <w:r w:rsidR="00885D77">
        <w:rPr>
          <w:color w:val="auto"/>
          <w:sz w:val="22"/>
          <w:szCs w:val="22"/>
        </w:rPr>
        <w:t xml:space="preserve"> </w:t>
      </w:r>
      <w:r w:rsidR="007E0C12">
        <w:rPr>
          <w:color w:val="auto"/>
          <w:sz w:val="22"/>
          <w:szCs w:val="22"/>
        </w:rPr>
        <w:t xml:space="preserve">funds </w:t>
      </w:r>
      <w:r>
        <w:rPr>
          <w:color w:val="auto"/>
          <w:sz w:val="22"/>
          <w:szCs w:val="22"/>
        </w:rPr>
        <w:t>industrially relevant doctoral research activity that supports advancements in sen</w:t>
      </w:r>
      <w:r w:rsidR="00C95635">
        <w:rPr>
          <w:color w:val="auto"/>
          <w:sz w:val="22"/>
          <w:szCs w:val="22"/>
        </w:rPr>
        <w:t>sing, imaging and the Internet of Things</w:t>
      </w:r>
      <w:r w:rsidR="009660AB">
        <w:rPr>
          <w:color w:val="auto"/>
          <w:sz w:val="22"/>
          <w:szCs w:val="22"/>
        </w:rPr>
        <w:t>,</w:t>
      </w:r>
      <w:r w:rsidR="00C95635">
        <w:rPr>
          <w:color w:val="auto"/>
          <w:sz w:val="22"/>
          <w:szCs w:val="22"/>
        </w:rPr>
        <w:t xml:space="preserve"> </w:t>
      </w:r>
      <w:r>
        <w:rPr>
          <w:color w:val="auto"/>
          <w:sz w:val="22"/>
          <w:szCs w:val="22"/>
        </w:rPr>
        <w:t xml:space="preserve">and brings technology in </w:t>
      </w:r>
      <w:r w:rsidR="006652A5">
        <w:rPr>
          <w:color w:val="auto"/>
          <w:sz w:val="22"/>
          <w:szCs w:val="22"/>
        </w:rPr>
        <w:t xml:space="preserve">these </w:t>
      </w:r>
      <w:r>
        <w:rPr>
          <w:color w:val="auto"/>
          <w:sz w:val="22"/>
          <w:szCs w:val="22"/>
        </w:rPr>
        <w:t>space</w:t>
      </w:r>
      <w:r w:rsidR="006652A5">
        <w:rPr>
          <w:color w:val="auto"/>
          <w:sz w:val="22"/>
          <w:szCs w:val="22"/>
        </w:rPr>
        <w:t>s</w:t>
      </w:r>
      <w:r>
        <w:rPr>
          <w:color w:val="auto"/>
          <w:sz w:val="22"/>
          <w:szCs w:val="22"/>
        </w:rPr>
        <w:t xml:space="preserve"> closer to </w:t>
      </w:r>
      <w:r w:rsidR="000A2A09">
        <w:rPr>
          <w:color w:val="auto"/>
          <w:sz w:val="22"/>
          <w:szCs w:val="22"/>
        </w:rPr>
        <w:t>market</w:t>
      </w:r>
      <w:r>
        <w:rPr>
          <w:color w:val="auto"/>
          <w:sz w:val="22"/>
          <w:szCs w:val="22"/>
        </w:rPr>
        <w:t xml:space="preserve">. </w:t>
      </w:r>
    </w:p>
    <w:p w14:paraId="1ABE2813" w14:textId="77777777" w:rsidR="009B7752" w:rsidRDefault="009B7752" w:rsidP="009B7752">
      <w:pPr>
        <w:pStyle w:val="Default"/>
        <w:rPr>
          <w:color w:val="auto"/>
          <w:sz w:val="22"/>
          <w:szCs w:val="22"/>
        </w:rPr>
      </w:pPr>
    </w:p>
    <w:p w14:paraId="0C141282" w14:textId="768C0DB2" w:rsidR="009B7752" w:rsidRDefault="009B7752" w:rsidP="009660AB">
      <w:pPr>
        <w:pStyle w:val="Default"/>
        <w:rPr>
          <w:color w:val="auto"/>
          <w:sz w:val="22"/>
          <w:szCs w:val="22"/>
        </w:rPr>
      </w:pPr>
      <w:r>
        <w:rPr>
          <w:color w:val="auto"/>
          <w:sz w:val="22"/>
          <w:szCs w:val="22"/>
        </w:rPr>
        <w:t xml:space="preserve">In its second phase of funding (2018-2023), CENSIS seeks to support a portfolio of research activity via PhD </w:t>
      </w:r>
      <w:r w:rsidR="00CC4974">
        <w:rPr>
          <w:color w:val="auto"/>
          <w:sz w:val="22"/>
          <w:szCs w:val="22"/>
        </w:rPr>
        <w:t xml:space="preserve">and </w:t>
      </w:r>
      <w:r>
        <w:rPr>
          <w:color w:val="auto"/>
          <w:sz w:val="22"/>
          <w:szCs w:val="22"/>
        </w:rPr>
        <w:t>EngD (Engineering Doctorate)</w:t>
      </w:r>
      <w:r w:rsidR="00505AE9">
        <w:rPr>
          <w:color w:val="auto"/>
          <w:sz w:val="22"/>
          <w:szCs w:val="22"/>
        </w:rPr>
        <w:t xml:space="preserve"> projects</w:t>
      </w:r>
      <w:r>
        <w:rPr>
          <w:color w:val="auto"/>
          <w:sz w:val="22"/>
          <w:szCs w:val="22"/>
        </w:rPr>
        <w:t xml:space="preserve">. All project applications </w:t>
      </w:r>
      <w:proofErr w:type="gramStart"/>
      <w:r w:rsidR="009660AB">
        <w:rPr>
          <w:color w:val="auto"/>
          <w:sz w:val="22"/>
          <w:szCs w:val="22"/>
        </w:rPr>
        <w:t>are a</w:t>
      </w:r>
      <w:r>
        <w:rPr>
          <w:color w:val="auto"/>
          <w:sz w:val="22"/>
          <w:szCs w:val="22"/>
        </w:rPr>
        <w:t>ssessed</w:t>
      </w:r>
      <w:proofErr w:type="gramEnd"/>
      <w:r>
        <w:rPr>
          <w:color w:val="auto"/>
          <w:sz w:val="22"/>
          <w:szCs w:val="22"/>
        </w:rPr>
        <w:t xml:space="preserve"> by way of competition</w:t>
      </w:r>
      <w:r w:rsidR="007E0C12">
        <w:rPr>
          <w:color w:val="auto"/>
          <w:sz w:val="22"/>
          <w:szCs w:val="22"/>
        </w:rPr>
        <w:t xml:space="preserve"> in an annual call</w:t>
      </w:r>
      <w:r>
        <w:rPr>
          <w:color w:val="auto"/>
          <w:sz w:val="22"/>
          <w:szCs w:val="22"/>
        </w:rPr>
        <w:t xml:space="preserve">. </w:t>
      </w:r>
    </w:p>
    <w:p w14:paraId="7916C224" w14:textId="77777777" w:rsidR="009B7752" w:rsidRDefault="009B7752" w:rsidP="009B7752">
      <w:pPr>
        <w:pStyle w:val="Default"/>
        <w:rPr>
          <w:color w:val="auto"/>
          <w:sz w:val="22"/>
          <w:szCs w:val="22"/>
        </w:rPr>
      </w:pPr>
    </w:p>
    <w:p w14:paraId="7922D2C4" w14:textId="225D5987" w:rsidR="009B7752" w:rsidRDefault="009B7752" w:rsidP="009B7752">
      <w:pPr>
        <w:pStyle w:val="Default"/>
        <w:rPr>
          <w:color w:val="auto"/>
          <w:sz w:val="22"/>
          <w:szCs w:val="22"/>
        </w:rPr>
      </w:pPr>
      <w:r>
        <w:rPr>
          <w:b/>
          <w:bCs/>
          <w:color w:val="auto"/>
          <w:sz w:val="22"/>
          <w:szCs w:val="22"/>
        </w:rPr>
        <w:t xml:space="preserve">This </w:t>
      </w:r>
      <w:r w:rsidR="00505AE9">
        <w:rPr>
          <w:b/>
          <w:bCs/>
          <w:color w:val="auto"/>
          <w:sz w:val="22"/>
          <w:szCs w:val="22"/>
        </w:rPr>
        <w:t xml:space="preserve">call </w:t>
      </w:r>
      <w:r w:rsidR="007E0C12">
        <w:rPr>
          <w:b/>
          <w:bCs/>
          <w:color w:val="auto"/>
          <w:sz w:val="22"/>
          <w:szCs w:val="22"/>
        </w:rPr>
        <w:t xml:space="preserve">is aimed at </w:t>
      </w:r>
      <w:r>
        <w:rPr>
          <w:b/>
          <w:bCs/>
          <w:color w:val="auto"/>
          <w:sz w:val="22"/>
          <w:szCs w:val="22"/>
        </w:rPr>
        <w:t xml:space="preserve">PhD </w:t>
      </w:r>
      <w:r w:rsidR="00CC4974">
        <w:rPr>
          <w:b/>
          <w:bCs/>
          <w:color w:val="auto"/>
          <w:sz w:val="22"/>
          <w:szCs w:val="22"/>
        </w:rPr>
        <w:t>and</w:t>
      </w:r>
      <w:r>
        <w:rPr>
          <w:b/>
          <w:bCs/>
          <w:color w:val="auto"/>
          <w:sz w:val="22"/>
          <w:szCs w:val="22"/>
        </w:rPr>
        <w:t xml:space="preserve"> EngD projects commencing </w:t>
      </w:r>
      <w:r w:rsidR="00885D77">
        <w:rPr>
          <w:b/>
          <w:bCs/>
          <w:color w:val="auto"/>
          <w:sz w:val="22"/>
          <w:szCs w:val="22"/>
        </w:rPr>
        <w:t>autumn</w:t>
      </w:r>
      <w:r w:rsidR="007E0C12">
        <w:rPr>
          <w:b/>
          <w:bCs/>
          <w:color w:val="auto"/>
          <w:sz w:val="22"/>
          <w:szCs w:val="22"/>
        </w:rPr>
        <w:t xml:space="preserve"> </w:t>
      </w:r>
      <w:r>
        <w:rPr>
          <w:b/>
          <w:bCs/>
          <w:color w:val="auto"/>
          <w:sz w:val="22"/>
          <w:szCs w:val="22"/>
        </w:rPr>
        <w:t>20</w:t>
      </w:r>
      <w:r w:rsidR="00E538B0">
        <w:rPr>
          <w:b/>
          <w:bCs/>
          <w:color w:val="auto"/>
          <w:sz w:val="22"/>
          <w:szCs w:val="22"/>
        </w:rPr>
        <w:t>20</w:t>
      </w:r>
      <w:r w:rsidR="00505AE9">
        <w:rPr>
          <w:b/>
          <w:bCs/>
          <w:color w:val="auto"/>
          <w:sz w:val="22"/>
          <w:szCs w:val="22"/>
        </w:rPr>
        <w:t xml:space="preserve">. </w:t>
      </w:r>
      <w:r w:rsidR="00505AE9">
        <w:rPr>
          <w:color w:val="auto"/>
          <w:sz w:val="22"/>
          <w:szCs w:val="22"/>
        </w:rPr>
        <w:t xml:space="preserve">This document </w:t>
      </w:r>
      <w:r>
        <w:rPr>
          <w:color w:val="auto"/>
          <w:sz w:val="22"/>
          <w:szCs w:val="22"/>
        </w:rPr>
        <w:t xml:space="preserve">sets out the rules, processes and guidelines on how this competition </w:t>
      </w:r>
      <w:proofErr w:type="gramStart"/>
      <w:r>
        <w:rPr>
          <w:color w:val="auto"/>
          <w:sz w:val="22"/>
          <w:szCs w:val="22"/>
        </w:rPr>
        <w:t>will be operated</w:t>
      </w:r>
      <w:proofErr w:type="gramEnd"/>
      <w:r>
        <w:rPr>
          <w:color w:val="auto"/>
          <w:sz w:val="22"/>
          <w:szCs w:val="22"/>
        </w:rPr>
        <w:t xml:space="preserve">. </w:t>
      </w:r>
    </w:p>
    <w:p w14:paraId="1AA1FA21" w14:textId="77777777" w:rsidR="00CC4974" w:rsidRDefault="00CC4974" w:rsidP="009B7752">
      <w:pPr>
        <w:pStyle w:val="Default"/>
        <w:rPr>
          <w:color w:val="auto"/>
          <w:sz w:val="22"/>
          <w:szCs w:val="22"/>
        </w:rPr>
      </w:pPr>
    </w:p>
    <w:p w14:paraId="6F1024EE" w14:textId="7F9B2311" w:rsidR="00CC4974" w:rsidRDefault="00CC4974" w:rsidP="009B7752">
      <w:pPr>
        <w:pStyle w:val="Default"/>
        <w:rPr>
          <w:color w:val="auto"/>
          <w:sz w:val="22"/>
          <w:szCs w:val="22"/>
        </w:rPr>
      </w:pPr>
      <w:r>
        <w:rPr>
          <w:color w:val="auto"/>
          <w:sz w:val="22"/>
          <w:szCs w:val="22"/>
        </w:rPr>
        <w:t xml:space="preserve">Up to </w:t>
      </w:r>
      <w:r w:rsidR="00E538B0">
        <w:rPr>
          <w:color w:val="auto"/>
          <w:sz w:val="22"/>
          <w:szCs w:val="22"/>
        </w:rPr>
        <w:t>five</w:t>
      </w:r>
      <w:r>
        <w:rPr>
          <w:color w:val="auto"/>
          <w:sz w:val="22"/>
          <w:szCs w:val="22"/>
        </w:rPr>
        <w:t xml:space="preserve"> (</w:t>
      </w:r>
      <w:r w:rsidR="00E538B0">
        <w:rPr>
          <w:color w:val="auto"/>
          <w:sz w:val="22"/>
          <w:szCs w:val="22"/>
        </w:rPr>
        <w:t>5</w:t>
      </w:r>
      <w:r>
        <w:rPr>
          <w:color w:val="auto"/>
          <w:sz w:val="22"/>
          <w:szCs w:val="22"/>
        </w:rPr>
        <w:t>) projects may be awarded in this funding round</w:t>
      </w:r>
      <w:r w:rsidR="00E538B0">
        <w:rPr>
          <w:color w:val="auto"/>
          <w:sz w:val="22"/>
          <w:szCs w:val="22"/>
        </w:rPr>
        <w:t xml:space="preserve"> </w:t>
      </w:r>
      <w:r>
        <w:rPr>
          <w:color w:val="auto"/>
          <w:sz w:val="22"/>
          <w:szCs w:val="22"/>
        </w:rPr>
        <w:t>with studentships of</w:t>
      </w:r>
      <w:r w:rsidR="00E538B0">
        <w:rPr>
          <w:color w:val="auto"/>
          <w:sz w:val="22"/>
          <w:szCs w:val="22"/>
        </w:rPr>
        <w:t xml:space="preserve"> </w:t>
      </w:r>
      <w:r>
        <w:rPr>
          <w:color w:val="auto"/>
          <w:sz w:val="22"/>
          <w:szCs w:val="22"/>
        </w:rPr>
        <w:t>a maximum of four (4) years in duration able to be supported.</w:t>
      </w:r>
      <w:r w:rsidRPr="00CC4974">
        <w:rPr>
          <w:color w:val="auto"/>
          <w:sz w:val="22"/>
          <w:szCs w:val="22"/>
        </w:rPr>
        <w:t xml:space="preserve"> </w:t>
      </w:r>
    </w:p>
    <w:p w14:paraId="2D030C18" w14:textId="77777777" w:rsidR="00CC4974" w:rsidRDefault="00CC4974" w:rsidP="009B7752">
      <w:pPr>
        <w:pStyle w:val="Default"/>
        <w:rPr>
          <w:color w:val="auto"/>
          <w:sz w:val="22"/>
          <w:szCs w:val="22"/>
        </w:rPr>
      </w:pPr>
    </w:p>
    <w:p w14:paraId="47FC946D" w14:textId="314051BB" w:rsidR="009B7752" w:rsidRDefault="00CC4974" w:rsidP="009B7752">
      <w:pPr>
        <w:pStyle w:val="Default"/>
        <w:rPr>
          <w:color w:val="auto"/>
          <w:sz w:val="22"/>
          <w:szCs w:val="22"/>
        </w:rPr>
      </w:pPr>
      <w:r>
        <w:rPr>
          <w:color w:val="auto"/>
          <w:sz w:val="22"/>
          <w:szCs w:val="22"/>
        </w:rPr>
        <w:t>CENSIS reserves the right to alter these processes in order to comply with the imposed timetable. Any changes of process will be notified to all entrants.</w:t>
      </w:r>
    </w:p>
    <w:p w14:paraId="0B8C4625" w14:textId="77777777" w:rsidR="006663A8" w:rsidRDefault="006663A8" w:rsidP="009B7752">
      <w:pPr>
        <w:pStyle w:val="Default"/>
        <w:rPr>
          <w:b/>
          <w:bCs/>
          <w:color w:val="auto"/>
          <w:sz w:val="22"/>
          <w:szCs w:val="22"/>
        </w:rPr>
      </w:pPr>
    </w:p>
    <w:p w14:paraId="3FD6F0BD" w14:textId="61749857" w:rsidR="009B7752" w:rsidRDefault="009B7752" w:rsidP="00F158DF">
      <w:pPr>
        <w:pStyle w:val="Heading2"/>
      </w:pPr>
      <w:r>
        <w:t xml:space="preserve">2. Criteria for </w:t>
      </w:r>
      <w:r w:rsidR="006663A8">
        <w:t>research p</w:t>
      </w:r>
      <w:r>
        <w:t xml:space="preserve">rojects </w:t>
      </w:r>
    </w:p>
    <w:p w14:paraId="75FC7BBF" w14:textId="44DD4822" w:rsidR="009B7752" w:rsidRDefault="009B7752" w:rsidP="009B7752">
      <w:pPr>
        <w:pStyle w:val="Default"/>
        <w:rPr>
          <w:color w:val="auto"/>
          <w:sz w:val="22"/>
          <w:szCs w:val="22"/>
        </w:rPr>
      </w:pPr>
      <w:r>
        <w:rPr>
          <w:color w:val="auto"/>
          <w:sz w:val="22"/>
          <w:szCs w:val="22"/>
        </w:rPr>
        <w:t xml:space="preserve">All projects submitted as part of the call must meet the following criteria: </w:t>
      </w:r>
    </w:p>
    <w:p w14:paraId="7224357C" w14:textId="77777777" w:rsidR="00884864" w:rsidRDefault="00884864" w:rsidP="009B7752">
      <w:pPr>
        <w:pStyle w:val="Default"/>
        <w:rPr>
          <w:color w:val="auto"/>
          <w:sz w:val="22"/>
          <w:szCs w:val="22"/>
        </w:rPr>
      </w:pPr>
    </w:p>
    <w:p w14:paraId="7224D3D9" w14:textId="02EFE871" w:rsidR="00884864" w:rsidRDefault="00884864" w:rsidP="00884864">
      <w:pPr>
        <w:pStyle w:val="Default"/>
        <w:numPr>
          <w:ilvl w:val="0"/>
          <w:numId w:val="13"/>
        </w:numPr>
        <w:spacing w:after="56"/>
        <w:rPr>
          <w:color w:val="auto"/>
          <w:sz w:val="22"/>
          <w:szCs w:val="22"/>
        </w:rPr>
      </w:pPr>
      <w:r w:rsidRPr="00082DE6">
        <w:rPr>
          <w:color w:val="auto"/>
          <w:sz w:val="22"/>
          <w:szCs w:val="22"/>
        </w:rPr>
        <w:t xml:space="preserve">The </w:t>
      </w:r>
      <w:r w:rsidR="006663A8">
        <w:rPr>
          <w:color w:val="auto"/>
          <w:sz w:val="22"/>
          <w:szCs w:val="22"/>
        </w:rPr>
        <w:t>p</w:t>
      </w:r>
      <w:r w:rsidRPr="00082DE6">
        <w:rPr>
          <w:color w:val="auto"/>
          <w:sz w:val="22"/>
          <w:szCs w:val="22"/>
        </w:rPr>
        <w:t xml:space="preserve">roject must be led by </w:t>
      </w:r>
      <w:r w:rsidR="009660AB">
        <w:rPr>
          <w:color w:val="auto"/>
          <w:sz w:val="22"/>
          <w:szCs w:val="22"/>
        </w:rPr>
        <w:t xml:space="preserve">a </w:t>
      </w:r>
      <w:r w:rsidRPr="00082DE6">
        <w:rPr>
          <w:color w:val="auto"/>
          <w:sz w:val="22"/>
          <w:szCs w:val="22"/>
        </w:rPr>
        <w:t xml:space="preserve">Scottish </w:t>
      </w:r>
      <w:r w:rsidR="002E1B2F">
        <w:rPr>
          <w:color w:val="auto"/>
          <w:sz w:val="22"/>
          <w:szCs w:val="22"/>
        </w:rPr>
        <w:t>U</w:t>
      </w:r>
      <w:r>
        <w:rPr>
          <w:color w:val="auto"/>
          <w:sz w:val="22"/>
          <w:szCs w:val="22"/>
        </w:rPr>
        <w:t xml:space="preserve">niversity </w:t>
      </w:r>
      <w:r w:rsidR="002E1B2F">
        <w:rPr>
          <w:color w:val="auto"/>
          <w:sz w:val="22"/>
          <w:szCs w:val="22"/>
        </w:rPr>
        <w:t>P</w:t>
      </w:r>
      <w:r>
        <w:rPr>
          <w:color w:val="auto"/>
          <w:sz w:val="22"/>
          <w:szCs w:val="22"/>
        </w:rPr>
        <w:t>artner</w:t>
      </w:r>
      <w:r w:rsidR="00156FFD">
        <w:rPr>
          <w:color w:val="auto"/>
          <w:sz w:val="22"/>
          <w:szCs w:val="22"/>
        </w:rPr>
        <w:t xml:space="preserve"> (University Partner)</w:t>
      </w:r>
      <w:r w:rsidR="00ED38B6">
        <w:rPr>
          <w:color w:val="auto"/>
          <w:sz w:val="22"/>
          <w:szCs w:val="22"/>
        </w:rPr>
        <w:t>:</w:t>
      </w:r>
    </w:p>
    <w:p w14:paraId="4D3F9F80" w14:textId="77777777" w:rsidR="00ED38B6" w:rsidRDefault="00ED38B6" w:rsidP="00CC4974">
      <w:pPr>
        <w:pStyle w:val="Default"/>
        <w:numPr>
          <w:ilvl w:val="0"/>
          <w:numId w:val="22"/>
        </w:numPr>
        <w:rPr>
          <w:sz w:val="22"/>
          <w:szCs w:val="22"/>
        </w:rPr>
      </w:pPr>
      <w:r>
        <w:rPr>
          <w:sz w:val="22"/>
          <w:szCs w:val="22"/>
        </w:rPr>
        <w:t xml:space="preserve">Edinburgh Napier University </w:t>
      </w:r>
    </w:p>
    <w:p w14:paraId="1CD6C50C" w14:textId="77777777" w:rsidR="00ED38B6" w:rsidRDefault="00ED38B6" w:rsidP="00CC4974">
      <w:pPr>
        <w:pStyle w:val="Default"/>
        <w:numPr>
          <w:ilvl w:val="0"/>
          <w:numId w:val="22"/>
        </w:numPr>
        <w:rPr>
          <w:sz w:val="22"/>
          <w:szCs w:val="22"/>
        </w:rPr>
      </w:pPr>
      <w:r>
        <w:rPr>
          <w:sz w:val="22"/>
          <w:szCs w:val="22"/>
        </w:rPr>
        <w:t xml:space="preserve">Glasgow Caledonian University </w:t>
      </w:r>
    </w:p>
    <w:p w14:paraId="76522523" w14:textId="5707F96E" w:rsidR="00ED38B6" w:rsidRDefault="00ED38B6" w:rsidP="00C95635">
      <w:pPr>
        <w:pStyle w:val="Default"/>
        <w:numPr>
          <w:ilvl w:val="0"/>
          <w:numId w:val="22"/>
        </w:numPr>
        <w:rPr>
          <w:sz w:val="22"/>
          <w:szCs w:val="22"/>
        </w:rPr>
      </w:pPr>
      <w:r>
        <w:rPr>
          <w:sz w:val="22"/>
          <w:szCs w:val="22"/>
        </w:rPr>
        <w:t>Heriot</w:t>
      </w:r>
      <w:r w:rsidR="00C95635">
        <w:rPr>
          <w:sz w:val="22"/>
          <w:szCs w:val="22"/>
        </w:rPr>
        <w:t>-</w:t>
      </w:r>
      <w:r>
        <w:rPr>
          <w:sz w:val="22"/>
          <w:szCs w:val="22"/>
        </w:rPr>
        <w:t xml:space="preserve">Watt University </w:t>
      </w:r>
    </w:p>
    <w:p w14:paraId="4867B05E" w14:textId="3320A0EA" w:rsidR="00ED38B6" w:rsidRDefault="00ED38B6" w:rsidP="00CC4974">
      <w:pPr>
        <w:pStyle w:val="Default"/>
        <w:numPr>
          <w:ilvl w:val="0"/>
          <w:numId w:val="22"/>
        </w:numPr>
        <w:rPr>
          <w:sz w:val="22"/>
          <w:szCs w:val="22"/>
        </w:rPr>
      </w:pPr>
      <w:r>
        <w:rPr>
          <w:sz w:val="22"/>
          <w:szCs w:val="22"/>
        </w:rPr>
        <w:t xml:space="preserve">Robert Gordon University </w:t>
      </w:r>
    </w:p>
    <w:p w14:paraId="4CE5DB57" w14:textId="77777777" w:rsidR="00ED38B6" w:rsidRDefault="00ED38B6" w:rsidP="00CC4974">
      <w:pPr>
        <w:pStyle w:val="Default"/>
        <w:numPr>
          <w:ilvl w:val="0"/>
          <w:numId w:val="22"/>
        </w:numPr>
        <w:rPr>
          <w:sz w:val="22"/>
          <w:szCs w:val="22"/>
        </w:rPr>
      </w:pPr>
      <w:r>
        <w:rPr>
          <w:sz w:val="22"/>
          <w:szCs w:val="22"/>
        </w:rPr>
        <w:t xml:space="preserve">The James Hutton Institute </w:t>
      </w:r>
    </w:p>
    <w:p w14:paraId="291C869A" w14:textId="77777777" w:rsidR="00ED38B6" w:rsidRDefault="00ED38B6" w:rsidP="00CC4974">
      <w:pPr>
        <w:pStyle w:val="Default"/>
        <w:numPr>
          <w:ilvl w:val="0"/>
          <w:numId w:val="22"/>
        </w:numPr>
        <w:rPr>
          <w:sz w:val="22"/>
          <w:szCs w:val="22"/>
        </w:rPr>
      </w:pPr>
      <w:r>
        <w:rPr>
          <w:sz w:val="22"/>
          <w:szCs w:val="22"/>
        </w:rPr>
        <w:t xml:space="preserve">SRUC </w:t>
      </w:r>
    </w:p>
    <w:p w14:paraId="46648E4C" w14:textId="77777777" w:rsidR="00ED38B6" w:rsidRDefault="00ED38B6" w:rsidP="00CC4974">
      <w:pPr>
        <w:pStyle w:val="Default"/>
        <w:numPr>
          <w:ilvl w:val="0"/>
          <w:numId w:val="22"/>
        </w:numPr>
        <w:rPr>
          <w:sz w:val="22"/>
          <w:szCs w:val="22"/>
        </w:rPr>
      </w:pPr>
      <w:r>
        <w:rPr>
          <w:sz w:val="22"/>
          <w:szCs w:val="22"/>
        </w:rPr>
        <w:t xml:space="preserve">University of Aberdeen </w:t>
      </w:r>
    </w:p>
    <w:p w14:paraId="1AB3D6F9" w14:textId="791F80C8" w:rsidR="00ED38B6" w:rsidRDefault="00ED38B6" w:rsidP="00CC4974">
      <w:pPr>
        <w:pStyle w:val="Default"/>
        <w:numPr>
          <w:ilvl w:val="0"/>
          <w:numId w:val="22"/>
        </w:numPr>
        <w:rPr>
          <w:sz w:val="22"/>
          <w:szCs w:val="22"/>
        </w:rPr>
      </w:pPr>
      <w:r>
        <w:rPr>
          <w:sz w:val="22"/>
          <w:szCs w:val="22"/>
        </w:rPr>
        <w:t xml:space="preserve">University of Abertay </w:t>
      </w:r>
    </w:p>
    <w:p w14:paraId="004ACE60" w14:textId="77777777" w:rsidR="00ED38B6" w:rsidRDefault="00ED38B6" w:rsidP="00CC4974">
      <w:pPr>
        <w:pStyle w:val="Default"/>
        <w:numPr>
          <w:ilvl w:val="0"/>
          <w:numId w:val="22"/>
        </w:numPr>
        <w:rPr>
          <w:sz w:val="22"/>
          <w:szCs w:val="22"/>
        </w:rPr>
      </w:pPr>
      <w:r>
        <w:rPr>
          <w:sz w:val="22"/>
          <w:szCs w:val="22"/>
        </w:rPr>
        <w:t xml:space="preserve">University of Dundee </w:t>
      </w:r>
    </w:p>
    <w:p w14:paraId="50DBEA07" w14:textId="77777777" w:rsidR="00ED38B6" w:rsidRDefault="00ED38B6" w:rsidP="00CC4974">
      <w:pPr>
        <w:pStyle w:val="Default"/>
        <w:numPr>
          <w:ilvl w:val="0"/>
          <w:numId w:val="22"/>
        </w:numPr>
        <w:rPr>
          <w:sz w:val="22"/>
          <w:szCs w:val="22"/>
        </w:rPr>
      </w:pPr>
      <w:r>
        <w:rPr>
          <w:sz w:val="22"/>
          <w:szCs w:val="22"/>
        </w:rPr>
        <w:t xml:space="preserve">University of Edinburgh </w:t>
      </w:r>
    </w:p>
    <w:p w14:paraId="1FADEE61" w14:textId="77777777" w:rsidR="00ED38B6" w:rsidRDefault="00ED38B6" w:rsidP="00CC4974">
      <w:pPr>
        <w:pStyle w:val="Default"/>
        <w:numPr>
          <w:ilvl w:val="0"/>
          <w:numId w:val="22"/>
        </w:numPr>
        <w:rPr>
          <w:sz w:val="22"/>
          <w:szCs w:val="22"/>
        </w:rPr>
      </w:pPr>
      <w:r>
        <w:rPr>
          <w:sz w:val="22"/>
          <w:szCs w:val="22"/>
        </w:rPr>
        <w:t xml:space="preserve">University of Glasgow </w:t>
      </w:r>
    </w:p>
    <w:p w14:paraId="6E9ECD50" w14:textId="77777777" w:rsidR="00ED38B6" w:rsidRDefault="00ED38B6" w:rsidP="00CC4974">
      <w:pPr>
        <w:pStyle w:val="Default"/>
        <w:numPr>
          <w:ilvl w:val="0"/>
          <w:numId w:val="22"/>
        </w:numPr>
        <w:rPr>
          <w:sz w:val="22"/>
          <w:szCs w:val="22"/>
        </w:rPr>
      </w:pPr>
      <w:r>
        <w:rPr>
          <w:sz w:val="22"/>
          <w:szCs w:val="22"/>
        </w:rPr>
        <w:t xml:space="preserve">University of the Highlands and Islands </w:t>
      </w:r>
    </w:p>
    <w:p w14:paraId="5D375A3D" w14:textId="77777777" w:rsidR="00ED38B6" w:rsidRDefault="00ED38B6" w:rsidP="00CC4974">
      <w:pPr>
        <w:pStyle w:val="Default"/>
        <w:numPr>
          <w:ilvl w:val="0"/>
          <w:numId w:val="22"/>
        </w:numPr>
        <w:rPr>
          <w:sz w:val="22"/>
          <w:szCs w:val="22"/>
        </w:rPr>
      </w:pPr>
      <w:r>
        <w:rPr>
          <w:sz w:val="22"/>
          <w:szCs w:val="22"/>
        </w:rPr>
        <w:t xml:space="preserve">University of Stirling </w:t>
      </w:r>
    </w:p>
    <w:p w14:paraId="2F8DD0D2" w14:textId="77777777" w:rsidR="00ED38B6" w:rsidRDefault="00ED38B6" w:rsidP="00CC4974">
      <w:pPr>
        <w:pStyle w:val="Default"/>
        <w:numPr>
          <w:ilvl w:val="0"/>
          <w:numId w:val="22"/>
        </w:numPr>
        <w:rPr>
          <w:sz w:val="22"/>
          <w:szCs w:val="22"/>
        </w:rPr>
      </w:pPr>
      <w:r>
        <w:rPr>
          <w:sz w:val="22"/>
          <w:szCs w:val="22"/>
        </w:rPr>
        <w:t xml:space="preserve">University of St Andrews </w:t>
      </w:r>
    </w:p>
    <w:p w14:paraId="6E90C906" w14:textId="7A808F68" w:rsidR="00ED38B6" w:rsidRDefault="00ED38B6" w:rsidP="00CC4974">
      <w:pPr>
        <w:pStyle w:val="Default"/>
        <w:numPr>
          <w:ilvl w:val="0"/>
          <w:numId w:val="22"/>
        </w:numPr>
        <w:rPr>
          <w:sz w:val="22"/>
          <w:szCs w:val="22"/>
        </w:rPr>
      </w:pPr>
      <w:r>
        <w:rPr>
          <w:sz w:val="22"/>
          <w:szCs w:val="22"/>
        </w:rPr>
        <w:t xml:space="preserve">University of Strathclyde </w:t>
      </w:r>
    </w:p>
    <w:p w14:paraId="1BB57BC2" w14:textId="772FBECF" w:rsidR="00ED38B6" w:rsidRPr="00ED38B6" w:rsidRDefault="00ED38B6" w:rsidP="00CC4974">
      <w:pPr>
        <w:pStyle w:val="Default"/>
        <w:numPr>
          <w:ilvl w:val="0"/>
          <w:numId w:val="22"/>
        </w:numPr>
        <w:rPr>
          <w:sz w:val="22"/>
          <w:szCs w:val="22"/>
        </w:rPr>
      </w:pPr>
      <w:r>
        <w:rPr>
          <w:sz w:val="22"/>
          <w:szCs w:val="22"/>
        </w:rPr>
        <w:t xml:space="preserve">University of </w:t>
      </w:r>
      <w:r w:rsidR="00885D77">
        <w:rPr>
          <w:sz w:val="22"/>
          <w:szCs w:val="22"/>
        </w:rPr>
        <w:t xml:space="preserve">the </w:t>
      </w:r>
      <w:r>
        <w:rPr>
          <w:sz w:val="22"/>
          <w:szCs w:val="22"/>
        </w:rPr>
        <w:t xml:space="preserve">West of Scotland </w:t>
      </w:r>
    </w:p>
    <w:p w14:paraId="1487F97D" w14:textId="77777777" w:rsidR="00E538B0" w:rsidRPr="00E538B0" w:rsidRDefault="006652A5" w:rsidP="006663A8">
      <w:pPr>
        <w:pStyle w:val="Default"/>
        <w:numPr>
          <w:ilvl w:val="0"/>
          <w:numId w:val="13"/>
        </w:numPr>
        <w:spacing w:after="56"/>
        <w:rPr>
          <w:sz w:val="22"/>
          <w:szCs w:val="22"/>
        </w:rPr>
      </w:pPr>
      <w:r w:rsidRPr="006663A8">
        <w:rPr>
          <w:color w:val="auto"/>
          <w:sz w:val="22"/>
          <w:szCs w:val="22"/>
        </w:rPr>
        <w:t>PhD s</w:t>
      </w:r>
      <w:r w:rsidR="007E0C12" w:rsidRPr="006663A8">
        <w:rPr>
          <w:color w:val="auto"/>
          <w:sz w:val="22"/>
          <w:szCs w:val="22"/>
        </w:rPr>
        <w:t xml:space="preserve">tudentships are assumed to last </w:t>
      </w:r>
      <w:r w:rsidRPr="006663A8">
        <w:rPr>
          <w:color w:val="auto"/>
          <w:sz w:val="22"/>
          <w:szCs w:val="22"/>
        </w:rPr>
        <w:t xml:space="preserve">3.5 years. </w:t>
      </w:r>
    </w:p>
    <w:p w14:paraId="6AD5727E" w14:textId="77777777" w:rsidR="00E538B0" w:rsidRPr="00E538B0" w:rsidRDefault="006652A5" w:rsidP="006663A8">
      <w:pPr>
        <w:pStyle w:val="Default"/>
        <w:numPr>
          <w:ilvl w:val="0"/>
          <w:numId w:val="13"/>
        </w:numPr>
        <w:spacing w:after="56"/>
        <w:rPr>
          <w:sz w:val="22"/>
          <w:szCs w:val="22"/>
        </w:rPr>
      </w:pPr>
      <w:r w:rsidRPr="006663A8">
        <w:rPr>
          <w:color w:val="auto"/>
          <w:sz w:val="22"/>
          <w:szCs w:val="22"/>
        </w:rPr>
        <w:lastRenderedPageBreak/>
        <w:t xml:space="preserve">EngD </w:t>
      </w:r>
      <w:r w:rsidR="006663A8">
        <w:rPr>
          <w:color w:val="auto"/>
          <w:sz w:val="22"/>
          <w:szCs w:val="22"/>
        </w:rPr>
        <w:t xml:space="preserve">studentships </w:t>
      </w:r>
      <w:r w:rsidRPr="006663A8">
        <w:rPr>
          <w:color w:val="auto"/>
          <w:sz w:val="22"/>
          <w:szCs w:val="22"/>
        </w:rPr>
        <w:t xml:space="preserve">are assumed to last </w:t>
      </w:r>
      <w:r w:rsidR="007E0C12" w:rsidRPr="006663A8">
        <w:rPr>
          <w:color w:val="auto"/>
          <w:sz w:val="22"/>
          <w:szCs w:val="22"/>
        </w:rPr>
        <w:t xml:space="preserve">four (4) years. </w:t>
      </w:r>
    </w:p>
    <w:p w14:paraId="3E650E20" w14:textId="77777777" w:rsidR="009660AB" w:rsidRDefault="006652A5" w:rsidP="009660AB">
      <w:pPr>
        <w:pStyle w:val="Default"/>
        <w:numPr>
          <w:ilvl w:val="0"/>
          <w:numId w:val="13"/>
        </w:numPr>
        <w:spacing w:after="56"/>
        <w:rPr>
          <w:sz w:val="22"/>
          <w:szCs w:val="22"/>
        </w:rPr>
      </w:pPr>
      <w:r w:rsidRPr="006663A8">
        <w:rPr>
          <w:color w:val="auto"/>
          <w:sz w:val="22"/>
          <w:szCs w:val="22"/>
        </w:rPr>
        <w:t xml:space="preserve">PhD studentships delivered via a Centre for Doctoral Training (CDT) </w:t>
      </w:r>
      <w:proofErr w:type="gramStart"/>
      <w:r w:rsidRPr="006663A8">
        <w:rPr>
          <w:color w:val="auto"/>
          <w:sz w:val="22"/>
          <w:szCs w:val="22"/>
        </w:rPr>
        <w:t>are assumed</w:t>
      </w:r>
      <w:proofErr w:type="gramEnd"/>
      <w:r w:rsidRPr="006663A8">
        <w:rPr>
          <w:color w:val="auto"/>
          <w:sz w:val="22"/>
          <w:szCs w:val="22"/>
        </w:rPr>
        <w:t xml:space="preserve"> to last four (4) years.</w:t>
      </w:r>
    </w:p>
    <w:p w14:paraId="4ABBE44F" w14:textId="77777777" w:rsidR="009660AB" w:rsidRPr="009660AB" w:rsidRDefault="00884864" w:rsidP="009660AB">
      <w:pPr>
        <w:pStyle w:val="Default"/>
        <w:numPr>
          <w:ilvl w:val="0"/>
          <w:numId w:val="13"/>
        </w:numPr>
        <w:spacing w:after="56"/>
        <w:rPr>
          <w:sz w:val="22"/>
          <w:szCs w:val="22"/>
        </w:rPr>
      </w:pPr>
      <w:r w:rsidRPr="009660AB">
        <w:rPr>
          <w:sz w:val="22"/>
          <w:szCs w:val="22"/>
        </w:rPr>
        <w:t xml:space="preserve">The project </w:t>
      </w:r>
      <w:r w:rsidR="00C95635" w:rsidRPr="009660AB">
        <w:rPr>
          <w:sz w:val="22"/>
          <w:szCs w:val="22"/>
        </w:rPr>
        <w:t xml:space="preserve">must </w:t>
      </w:r>
      <w:r w:rsidR="0085462D" w:rsidRPr="009660AB">
        <w:rPr>
          <w:sz w:val="22"/>
          <w:szCs w:val="22"/>
        </w:rPr>
        <w:t xml:space="preserve">be supported by an </w:t>
      </w:r>
      <w:r w:rsidR="006652A5" w:rsidRPr="009660AB">
        <w:rPr>
          <w:sz w:val="22"/>
          <w:szCs w:val="22"/>
        </w:rPr>
        <w:t>industry partner</w:t>
      </w:r>
      <w:r w:rsidR="00090CC5" w:rsidRPr="009660AB">
        <w:rPr>
          <w:sz w:val="22"/>
          <w:szCs w:val="22"/>
        </w:rPr>
        <w:t xml:space="preserve"> and </w:t>
      </w:r>
      <w:r w:rsidR="006652A5" w:rsidRPr="009660AB">
        <w:rPr>
          <w:sz w:val="22"/>
          <w:szCs w:val="22"/>
        </w:rPr>
        <w:t xml:space="preserve">clearly </w:t>
      </w:r>
      <w:r w:rsidRPr="009660AB">
        <w:rPr>
          <w:sz w:val="22"/>
          <w:szCs w:val="22"/>
        </w:rPr>
        <w:t>demonstrate the potential for industrial relevance by the innovative use</w:t>
      </w:r>
      <w:r w:rsidR="00CC4974" w:rsidRPr="009660AB">
        <w:rPr>
          <w:sz w:val="22"/>
          <w:szCs w:val="22"/>
        </w:rPr>
        <w:t>, advancement or</w:t>
      </w:r>
      <w:r w:rsidRPr="009660AB">
        <w:rPr>
          <w:sz w:val="22"/>
          <w:szCs w:val="22"/>
        </w:rPr>
        <w:t xml:space="preserve"> application of sens</w:t>
      </w:r>
      <w:r w:rsidR="006663A8" w:rsidRPr="009660AB">
        <w:rPr>
          <w:sz w:val="22"/>
          <w:szCs w:val="22"/>
        </w:rPr>
        <w:t xml:space="preserve">ing, </w:t>
      </w:r>
      <w:r w:rsidRPr="009660AB">
        <w:rPr>
          <w:sz w:val="22"/>
          <w:szCs w:val="22"/>
        </w:rPr>
        <w:t xml:space="preserve">imaging </w:t>
      </w:r>
      <w:r w:rsidR="00C03619" w:rsidRPr="009660AB">
        <w:rPr>
          <w:rFonts w:asciiTheme="majorHAnsi" w:hAnsiTheme="majorHAnsi" w:cstheme="majorHAnsi"/>
          <w:sz w:val="22"/>
          <w:szCs w:val="22"/>
        </w:rPr>
        <w:t>and/or IoT.</w:t>
      </w:r>
      <w:r w:rsidR="0085462D" w:rsidRPr="009660AB">
        <w:rPr>
          <w:rFonts w:asciiTheme="majorHAnsi" w:hAnsiTheme="majorHAnsi" w:cstheme="majorHAnsi"/>
          <w:sz w:val="22"/>
          <w:szCs w:val="22"/>
        </w:rPr>
        <w:t xml:space="preserve"> </w:t>
      </w:r>
    </w:p>
    <w:p w14:paraId="7530EB45" w14:textId="5A6CA5C6" w:rsidR="009660AB" w:rsidRPr="009660AB" w:rsidRDefault="001076A2" w:rsidP="009660AB">
      <w:pPr>
        <w:pStyle w:val="Default"/>
        <w:numPr>
          <w:ilvl w:val="0"/>
          <w:numId w:val="13"/>
        </w:numPr>
        <w:spacing w:after="56"/>
        <w:rPr>
          <w:sz w:val="22"/>
          <w:szCs w:val="22"/>
        </w:rPr>
      </w:pPr>
      <w:r w:rsidRPr="009660AB">
        <w:rPr>
          <w:sz w:val="22"/>
          <w:szCs w:val="22"/>
        </w:rPr>
        <w:t xml:space="preserve">Industrial engagement, evidenced through a letter of support, is </w:t>
      </w:r>
      <w:r w:rsidR="00C95635" w:rsidRPr="009660AB">
        <w:rPr>
          <w:sz w:val="22"/>
          <w:szCs w:val="22"/>
        </w:rPr>
        <w:t>required</w:t>
      </w:r>
      <w:r w:rsidRPr="009660AB">
        <w:rPr>
          <w:sz w:val="22"/>
          <w:szCs w:val="22"/>
        </w:rPr>
        <w:t xml:space="preserve"> as part of a project submission. </w:t>
      </w:r>
      <w:r w:rsidR="0085462D" w:rsidRPr="009660AB">
        <w:rPr>
          <w:sz w:val="22"/>
          <w:szCs w:val="22"/>
        </w:rPr>
        <w:t xml:space="preserve">CENSIS is particularly interested in industrial engagement from organisations with a base in Scotland or where the outcomes of the research project will </w:t>
      </w:r>
      <w:proofErr w:type="gramStart"/>
      <w:r w:rsidR="0085462D" w:rsidRPr="009660AB">
        <w:rPr>
          <w:sz w:val="22"/>
          <w:szCs w:val="22"/>
        </w:rPr>
        <w:t>impact</w:t>
      </w:r>
      <w:proofErr w:type="gramEnd"/>
      <w:r w:rsidR="0085462D" w:rsidRPr="009660AB">
        <w:rPr>
          <w:sz w:val="22"/>
          <w:szCs w:val="22"/>
        </w:rPr>
        <w:t xml:space="preserve"> </w:t>
      </w:r>
      <w:r w:rsidR="009660AB">
        <w:rPr>
          <w:sz w:val="22"/>
          <w:szCs w:val="22"/>
        </w:rPr>
        <w:t xml:space="preserve">favourably on </w:t>
      </w:r>
      <w:r w:rsidR="0085462D" w:rsidRPr="009660AB">
        <w:rPr>
          <w:bCs/>
          <w:sz w:val="22"/>
          <w:szCs w:val="22"/>
        </w:rPr>
        <w:t>the Scottish economy.</w:t>
      </w:r>
      <w:r w:rsidR="0085462D" w:rsidRPr="009660AB">
        <w:rPr>
          <w:rFonts w:ascii="Times New Roman" w:hAnsi="Times New Roman"/>
          <w:sz w:val="22"/>
          <w:szCs w:val="22"/>
        </w:rPr>
        <w:t xml:space="preserve"> </w:t>
      </w:r>
    </w:p>
    <w:p w14:paraId="1C7A5CED" w14:textId="1DE855D1" w:rsidR="000B739F" w:rsidRPr="009660AB" w:rsidRDefault="007E0C12" w:rsidP="009660AB">
      <w:pPr>
        <w:pStyle w:val="Default"/>
        <w:numPr>
          <w:ilvl w:val="0"/>
          <w:numId w:val="13"/>
        </w:numPr>
        <w:spacing w:after="56"/>
        <w:rPr>
          <w:sz w:val="22"/>
          <w:szCs w:val="22"/>
        </w:rPr>
      </w:pPr>
      <w:r w:rsidRPr="009660AB">
        <w:rPr>
          <w:color w:val="auto"/>
          <w:sz w:val="22"/>
          <w:szCs w:val="22"/>
        </w:rPr>
        <w:t>The p</w:t>
      </w:r>
      <w:r w:rsidR="009B7752" w:rsidRPr="009660AB">
        <w:rPr>
          <w:color w:val="auto"/>
          <w:sz w:val="22"/>
          <w:szCs w:val="22"/>
        </w:rPr>
        <w:t xml:space="preserve">roject must align </w:t>
      </w:r>
      <w:r w:rsidR="00884864" w:rsidRPr="009660AB">
        <w:rPr>
          <w:rFonts w:asciiTheme="minorHAnsi" w:hAnsiTheme="minorHAnsi" w:cs="Arial"/>
          <w:sz w:val="22"/>
          <w:szCs w:val="22"/>
        </w:rPr>
        <w:t xml:space="preserve">with </w:t>
      </w:r>
      <w:r w:rsidR="009B7752" w:rsidRPr="009660AB">
        <w:rPr>
          <w:color w:val="auto"/>
          <w:sz w:val="22"/>
          <w:szCs w:val="22"/>
        </w:rPr>
        <w:t xml:space="preserve">one or more of </w:t>
      </w:r>
      <w:r w:rsidR="00CC4974" w:rsidRPr="009660AB">
        <w:rPr>
          <w:color w:val="auto"/>
          <w:sz w:val="22"/>
          <w:szCs w:val="22"/>
        </w:rPr>
        <w:t xml:space="preserve">CENSIS’s </w:t>
      </w:r>
      <w:r w:rsidR="009B7752" w:rsidRPr="009660AB">
        <w:rPr>
          <w:color w:val="auto"/>
          <w:sz w:val="22"/>
          <w:szCs w:val="22"/>
        </w:rPr>
        <w:t>major themes</w:t>
      </w:r>
      <w:r w:rsidRPr="009660AB">
        <w:rPr>
          <w:color w:val="auto"/>
          <w:sz w:val="22"/>
          <w:szCs w:val="22"/>
        </w:rPr>
        <w:t>:</w:t>
      </w:r>
    </w:p>
    <w:p w14:paraId="165E5BBE" w14:textId="77777777" w:rsidR="000B739F" w:rsidRPr="006663A8" w:rsidRDefault="000B739F" w:rsidP="006663A8">
      <w:pPr>
        <w:pStyle w:val="Default"/>
        <w:shd w:val="clear" w:color="auto" w:fill="FFFFFF"/>
        <w:rPr>
          <w:szCs w:val="22"/>
        </w:rPr>
      </w:pPr>
    </w:p>
    <w:p w14:paraId="66FF32A6" w14:textId="77777777" w:rsidR="00090CC5" w:rsidRPr="006663A8" w:rsidRDefault="00090CC5" w:rsidP="00090CC5">
      <w:pPr>
        <w:pStyle w:val="BodyText"/>
        <w:spacing w:after="0" w:line="240" w:lineRule="auto"/>
        <w:rPr>
          <w:b/>
          <w:szCs w:val="22"/>
        </w:rPr>
      </w:pPr>
      <w:r w:rsidRPr="006663A8">
        <w:rPr>
          <w:b/>
          <w:szCs w:val="22"/>
        </w:rPr>
        <w:t>Internet of Things (IoT)</w:t>
      </w:r>
    </w:p>
    <w:p w14:paraId="674703D6" w14:textId="77777777" w:rsidR="00090CC5" w:rsidRPr="00ED459A" w:rsidRDefault="00090CC5" w:rsidP="00090CC5">
      <w:pPr>
        <w:pStyle w:val="BodyText"/>
        <w:numPr>
          <w:ilvl w:val="0"/>
          <w:numId w:val="31"/>
        </w:numPr>
        <w:spacing w:after="0" w:line="240" w:lineRule="auto"/>
        <w:rPr>
          <w:rFonts w:asciiTheme="majorHAnsi" w:hAnsiTheme="majorHAnsi" w:cstheme="majorHAnsi"/>
          <w:szCs w:val="22"/>
        </w:rPr>
      </w:pPr>
      <w:r w:rsidRPr="002840DA">
        <w:rPr>
          <w:szCs w:val="22"/>
        </w:rPr>
        <w:t xml:space="preserve">IoT </w:t>
      </w:r>
      <w:r>
        <w:rPr>
          <w:szCs w:val="22"/>
        </w:rPr>
        <w:t>s</w:t>
      </w:r>
      <w:r w:rsidRPr="002840DA">
        <w:rPr>
          <w:szCs w:val="22"/>
        </w:rPr>
        <w:t>ystems</w:t>
      </w:r>
      <w:r w:rsidRPr="001C027A">
        <w:rPr>
          <w:szCs w:val="22"/>
        </w:rPr>
        <w:t xml:space="preserve">: The </w:t>
      </w:r>
      <w:r w:rsidRPr="00ED459A">
        <w:rPr>
          <w:rFonts w:asciiTheme="majorHAnsi" w:hAnsiTheme="majorHAnsi" w:cstheme="majorHAnsi"/>
          <w:szCs w:val="22"/>
        </w:rPr>
        <w:t>networking of physical objects to enable communication and data exchange with each other, typically without the need for human intervention, with a focus on system-level aspects of IoT.</w:t>
      </w:r>
    </w:p>
    <w:p w14:paraId="2A6B1A69" w14:textId="77777777" w:rsidR="00090CC5" w:rsidRPr="006663A8" w:rsidRDefault="00090CC5" w:rsidP="00090CC5">
      <w:pPr>
        <w:pStyle w:val="ListParagraph"/>
        <w:numPr>
          <w:ilvl w:val="0"/>
          <w:numId w:val="31"/>
        </w:numPr>
        <w:spacing w:after="0" w:line="240" w:lineRule="auto"/>
        <w:rPr>
          <w:rFonts w:asciiTheme="majorHAnsi" w:hAnsiTheme="majorHAnsi" w:cstheme="majorHAnsi"/>
          <w:szCs w:val="22"/>
        </w:rPr>
      </w:pPr>
      <w:r w:rsidRPr="006663A8">
        <w:rPr>
          <w:rFonts w:asciiTheme="majorHAnsi" w:hAnsiTheme="majorHAnsi" w:cstheme="majorHAnsi"/>
          <w:bCs/>
          <w:szCs w:val="22"/>
        </w:rPr>
        <w:t xml:space="preserve">IoT cyber security: </w:t>
      </w:r>
      <w:r w:rsidRPr="006663A8">
        <w:rPr>
          <w:rFonts w:asciiTheme="majorHAnsi" w:hAnsiTheme="majorHAnsi" w:cstheme="majorHAnsi"/>
          <w:szCs w:val="22"/>
        </w:rPr>
        <w:t>Addressing security and resilience challenges in the design, manufacture and application of IoT devices and techniques.</w:t>
      </w:r>
    </w:p>
    <w:p w14:paraId="71B78780" w14:textId="7D978F4F" w:rsidR="000B739F" w:rsidRPr="006663A8" w:rsidRDefault="000B739F" w:rsidP="006663A8">
      <w:pPr>
        <w:pStyle w:val="Default"/>
        <w:shd w:val="clear" w:color="auto" w:fill="FFFFFF"/>
        <w:rPr>
          <w:rFonts w:cs="Arial"/>
          <w:b/>
          <w:szCs w:val="22"/>
        </w:rPr>
      </w:pPr>
      <w:r w:rsidRPr="006663A8">
        <w:rPr>
          <w:b/>
          <w:szCs w:val="22"/>
        </w:rPr>
        <w:t>Sensing</w:t>
      </w:r>
    </w:p>
    <w:p w14:paraId="2BFAB9F3" w14:textId="7CA3C508" w:rsidR="000B739F" w:rsidRDefault="00884864" w:rsidP="006663A8">
      <w:pPr>
        <w:pStyle w:val="Default"/>
        <w:numPr>
          <w:ilvl w:val="0"/>
          <w:numId w:val="29"/>
        </w:numPr>
        <w:shd w:val="clear" w:color="auto" w:fill="FFFFFF"/>
        <w:rPr>
          <w:szCs w:val="22"/>
        </w:rPr>
      </w:pPr>
      <w:r w:rsidRPr="006663A8">
        <w:rPr>
          <w:sz w:val="22"/>
          <w:szCs w:val="22"/>
        </w:rPr>
        <w:t xml:space="preserve">Sensing </w:t>
      </w:r>
      <w:r w:rsidR="000B739F">
        <w:rPr>
          <w:sz w:val="22"/>
          <w:szCs w:val="22"/>
        </w:rPr>
        <w:t>and m</w:t>
      </w:r>
      <w:r w:rsidRPr="006663A8">
        <w:rPr>
          <w:sz w:val="22"/>
          <w:szCs w:val="22"/>
        </w:rPr>
        <w:t>easuring/</w:t>
      </w:r>
      <w:r w:rsidR="000B739F">
        <w:rPr>
          <w:sz w:val="22"/>
          <w:szCs w:val="22"/>
        </w:rPr>
        <w:t>a</w:t>
      </w:r>
      <w:r w:rsidRPr="006663A8">
        <w:rPr>
          <w:sz w:val="22"/>
          <w:szCs w:val="22"/>
        </w:rPr>
        <w:t xml:space="preserve">dvanced </w:t>
      </w:r>
      <w:r w:rsidR="000B739F">
        <w:rPr>
          <w:sz w:val="22"/>
          <w:szCs w:val="22"/>
        </w:rPr>
        <w:t>d</w:t>
      </w:r>
      <w:r w:rsidRPr="006663A8">
        <w:rPr>
          <w:sz w:val="22"/>
          <w:szCs w:val="22"/>
        </w:rPr>
        <w:t xml:space="preserve">evices </w:t>
      </w:r>
      <w:r w:rsidR="000B739F">
        <w:rPr>
          <w:sz w:val="22"/>
          <w:szCs w:val="22"/>
        </w:rPr>
        <w:t>and f</w:t>
      </w:r>
      <w:r w:rsidRPr="006663A8">
        <w:rPr>
          <w:sz w:val="22"/>
          <w:szCs w:val="22"/>
        </w:rPr>
        <w:t>abrication</w:t>
      </w:r>
      <w:r w:rsidR="00ED459A" w:rsidRPr="006663A8">
        <w:rPr>
          <w:sz w:val="22"/>
          <w:szCs w:val="22"/>
        </w:rPr>
        <w:t>, including fabrication and characterisation facilities and expertise</w:t>
      </w:r>
      <w:r w:rsidR="001076A2">
        <w:rPr>
          <w:sz w:val="22"/>
          <w:szCs w:val="22"/>
        </w:rPr>
        <w:t>.</w:t>
      </w:r>
    </w:p>
    <w:p w14:paraId="6861A5D9" w14:textId="02C06A52" w:rsidR="000B739F" w:rsidRDefault="000B739F" w:rsidP="006663A8">
      <w:pPr>
        <w:pStyle w:val="Default"/>
        <w:numPr>
          <w:ilvl w:val="0"/>
          <w:numId w:val="29"/>
        </w:numPr>
        <w:shd w:val="clear" w:color="auto" w:fill="FFFFFF"/>
        <w:rPr>
          <w:szCs w:val="22"/>
        </w:rPr>
      </w:pPr>
      <w:r>
        <w:rPr>
          <w:sz w:val="22"/>
          <w:szCs w:val="22"/>
        </w:rPr>
        <w:t>Signal processing, communications and networking – particularly low power/high security</w:t>
      </w:r>
      <w:r w:rsidR="001076A2">
        <w:rPr>
          <w:sz w:val="22"/>
          <w:szCs w:val="22"/>
        </w:rPr>
        <w:t>.</w:t>
      </w:r>
    </w:p>
    <w:p w14:paraId="737F8D68" w14:textId="3AFC61EF" w:rsidR="000B739F" w:rsidRDefault="00884864" w:rsidP="006663A8">
      <w:pPr>
        <w:pStyle w:val="Default"/>
        <w:numPr>
          <w:ilvl w:val="0"/>
          <w:numId w:val="27"/>
        </w:numPr>
        <w:shd w:val="clear" w:color="auto" w:fill="FFFFFF"/>
        <w:rPr>
          <w:szCs w:val="22"/>
        </w:rPr>
      </w:pPr>
      <w:r w:rsidRPr="006663A8">
        <w:rPr>
          <w:sz w:val="22"/>
          <w:szCs w:val="22"/>
        </w:rPr>
        <w:t xml:space="preserve">Advanced </w:t>
      </w:r>
      <w:r w:rsidR="000B739F">
        <w:rPr>
          <w:sz w:val="22"/>
          <w:szCs w:val="22"/>
        </w:rPr>
        <w:t>d</w:t>
      </w:r>
      <w:r w:rsidRPr="006663A8">
        <w:rPr>
          <w:sz w:val="22"/>
          <w:szCs w:val="22"/>
        </w:rPr>
        <w:t xml:space="preserve">ata </w:t>
      </w:r>
      <w:r w:rsidR="000B739F">
        <w:rPr>
          <w:sz w:val="22"/>
          <w:szCs w:val="22"/>
        </w:rPr>
        <w:t>a</w:t>
      </w:r>
      <w:r w:rsidRPr="006663A8">
        <w:rPr>
          <w:sz w:val="22"/>
          <w:szCs w:val="22"/>
        </w:rPr>
        <w:t xml:space="preserve">nalysis </w:t>
      </w:r>
      <w:r w:rsidR="000B739F">
        <w:rPr>
          <w:sz w:val="22"/>
          <w:szCs w:val="22"/>
        </w:rPr>
        <w:t>and v</w:t>
      </w:r>
      <w:r w:rsidR="006F1BA5">
        <w:rPr>
          <w:sz w:val="22"/>
          <w:szCs w:val="22"/>
        </w:rPr>
        <w:t>i</w:t>
      </w:r>
      <w:r w:rsidRPr="006663A8">
        <w:rPr>
          <w:sz w:val="22"/>
          <w:szCs w:val="22"/>
        </w:rPr>
        <w:t>sualisation</w:t>
      </w:r>
      <w:r w:rsidR="00ED459A" w:rsidRPr="006663A8">
        <w:rPr>
          <w:sz w:val="22"/>
          <w:szCs w:val="22"/>
        </w:rPr>
        <w:t>, with a focus on data analysis rather than data collection.</w:t>
      </w:r>
    </w:p>
    <w:p w14:paraId="6869B51E" w14:textId="09EA96A4" w:rsidR="00ED459A" w:rsidRPr="002840DA" w:rsidRDefault="00884864" w:rsidP="006663A8">
      <w:pPr>
        <w:pStyle w:val="Default"/>
        <w:numPr>
          <w:ilvl w:val="0"/>
          <w:numId w:val="27"/>
        </w:numPr>
        <w:shd w:val="clear" w:color="auto" w:fill="FFFFFF"/>
        <w:rPr>
          <w:szCs w:val="22"/>
        </w:rPr>
      </w:pPr>
      <w:r w:rsidRPr="006663A8">
        <w:rPr>
          <w:sz w:val="22"/>
          <w:szCs w:val="22"/>
        </w:rPr>
        <w:t xml:space="preserve">Remote </w:t>
      </w:r>
      <w:r w:rsidR="000B739F">
        <w:rPr>
          <w:sz w:val="22"/>
          <w:szCs w:val="22"/>
        </w:rPr>
        <w:t>and di</w:t>
      </w:r>
      <w:r w:rsidRPr="006663A8">
        <w:rPr>
          <w:sz w:val="22"/>
          <w:szCs w:val="22"/>
        </w:rPr>
        <w:t xml:space="preserve">stributed </w:t>
      </w:r>
      <w:r w:rsidR="000B739F">
        <w:rPr>
          <w:sz w:val="22"/>
          <w:szCs w:val="22"/>
        </w:rPr>
        <w:t>s</w:t>
      </w:r>
      <w:r w:rsidRPr="006663A8">
        <w:rPr>
          <w:sz w:val="22"/>
          <w:szCs w:val="22"/>
        </w:rPr>
        <w:t>ystems/</w:t>
      </w:r>
      <w:r w:rsidR="000B739F">
        <w:rPr>
          <w:sz w:val="22"/>
          <w:szCs w:val="22"/>
        </w:rPr>
        <w:t>s</w:t>
      </w:r>
      <w:r w:rsidRPr="006663A8">
        <w:rPr>
          <w:sz w:val="22"/>
          <w:szCs w:val="22"/>
        </w:rPr>
        <w:t>ensing</w:t>
      </w:r>
      <w:r w:rsidR="00ED459A" w:rsidRPr="006663A8">
        <w:rPr>
          <w:sz w:val="22"/>
          <w:szCs w:val="22"/>
        </w:rPr>
        <w:t>, a</w:t>
      </w:r>
      <w:r w:rsidRPr="006663A8">
        <w:rPr>
          <w:sz w:val="22"/>
          <w:szCs w:val="22"/>
        </w:rPr>
        <w:t>ddressing challenges in deploying sensors across wide/remote geographic areas</w:t>
      </w:r>
      <w:r w:rsidR="001076A2">
        <w:rPr>
          <w:sz w:val="22"/>
          <w:szCs w:val="22"/>
        </w:rPr>
        <w:t>.</w:t>
      </w:r>
    </w:p>
    <w:p w14:paraId="37A463D9" w14:textId="661124BC" w:rsidR="000B739F" w:rsidRPr="006663A8" w:rsidRDefault="00ED459A" w:rsidP="006663A8">
      <w:pPr>
        <w:pStyle w:val="Default"/>
        <w:shd w:val="clear" w:color="auto" w:fill="FFFFFF"/>
        <w:rPr>
          <w:b/>
          <w:szCs w:val="22"/>
        </w:rPr>
      </w:pPr>
      <w:r w:rsidRPr="006663A8">
        <w:rPr>
          <w:b/>
          <w:szCs w:val="22"/>
        </w:rPr>
        <w:t>Imaging</w:t>
      </w:r>
    </w:p>
    <w:p w14:paraId="53BE2290" w14:textId="6558B1B8" w:rsidR="000B739F" w:rsidRPr="00ED459A" w:rsidRDefault="000B739F" w:rsidP="009660AB">
      <w:pPr>
        <w:pStyle w:val="Default"/>
        <w:numPr>
          <w:ilvl w:val="0"/>
          <w:numId w:val="31"/>
        </w:numPr>
        <w:shd w:val="clear" w:color="auto" w:fill="FFFFFF"/>
      </w:pPr>
      <w:r w:rsidRPr="001076A2">
        <w:rPr>
          <w:sz w:val="22"/>
          <w:szCs w:val="22"/>
        </w:rPr>
        <w:t xml:space="preserve">Imaging and optical measurement techniques, predominantly at wavelengths from the visible, through the infrared to microwave frequencies, and including quantum sensing and imaging </w:t>
      </w:r>
      <w:proofErr w:type="gramStart"/>
      <w:r w:rsidRPr="001076A2">
        <w:rPr>
          <w:sz w:val="22"/>
          <w:szCs w:val="22"/>
        </w:rPr>
        <w:t xml:space="preserve">and </w:t>
      </w:r>
      <w:r w:rsidR="009660AB">
        <w:rPr>
          <w:sz w:val="22"/>
          <w:szCs w:val="22"/>
        </w:rPr>
        <w:t xml:space="preserve"> </w:t>
      </w:r>
      <w:r w:rsidRPr="001076A2">
        <w:rPr>
          <w:sz w:val="22"/>
          <w:szCs w:val="22"/>
        </w:rPr>
        <w:t>imaging</w:t>
      </w:r>
      <w:proofErr w:type="gramEnd"/>
      <w:r w:rsidRPr="001076A2">
        <w:rPr>
          <w:sz w:val="22"/>
          <w:szCs w:val="22"/>
        </w:rPr>
        <w:t>, medical and ophthalmic imaging.</w:t>
      </w:r>
    </w:p>
    <w:p w14:paraId="5B57B705" w14:textId="77777777" w:rsidR="000B739F" w:rsidRDefault="000B739F" w:rsidP="006663A8">
      <w:pPr>
        <w:pStyle w:val="BodyText"/>
        <w:spacing w:after="0" w:line="240" w:lineRule="auto"/>
        <w:rPr>
          <w:szCs w:val="22"/>
        </w:rPr>
      </w:pPr>
    </w:p>
    <w:p w14:paraId="33A34EAB" w14:textId="4E959815" w:rsidR="009B7752" w:rsidRDefault="009B7752" w:rsidP="00F158DF">
      <w:pPr>
        <w:pStyle w:val="Heading2"/>
      </w:pPr>
      <w:r>
        <w:t xml:space="preserve">3. </w:t>
      </w:r>
      <w:r w:rsidR="00F158DF">
        <w:t xml:space="preserve">Value and </w:t>
      </w:r>
      <w:r w:rsidR="006663A8">
        <w:t>f</w:t>
      </w:r>
      <w:r>
        <w:t xml:space="preserve">unding </w:t>
      </w:r>
    </w:p>
    <w:p w14:paraId="6923DCC2" w14:textId="77777777" w:rsidR="00090CC5" w:rsidRDefault="00505AE9" w:rsidP="00090CC5">
      <w:pPr>
        <w:pStyle w:val="Default"/>
        <w:rPr>
          <w:sz w:val="22"/>
          <w:szCs w:val="22"/>
        </w:rPr>
      </w:pPr>
      <w:r>
        <w:rPr>
          <w:sz w:val="22"/>
          <w:szCs w:val="22"/>
        </w:rPr>
        <w:t>A</w:t>
      </w:r>
      <w:r w:rsidR="00854D0B">
        <w:rPr>
          <w:sz w:val="22"/>
          <w:szCs w:val="22"/>
        </w:rPr>
        <w:t xml:space="preserve"> maximum of 50% cash funding </w:t>
      </w:r>
      <w:r w:rsidR="00090CC5">
        <w:rPr>
          <w:sz w:val="22"/>
          <w:szCs w:val="22"/>
        </w:rPr>
        <w:t xml:space="preserve">covering </w:t>
      </w:r>
      <w:r w:rsidR="00E538B0">
        <w:rPr>
          <w:sz w:val="22"/>
          <w:szCs w:val="22"/>
        </w:rPr>
        <w:t xml:space="preserve">home tuition fees and </w:t>
      </w:r>
      <w:r w:rsidR="00090CC5">
        <w:rPr>
          <w:sz w:val="22"/>
          <w:szCs w:val="22"/>
        </w:rPr>
        <w:t xml:space="preserve">the </w:t>
      </w:r>
      <w:r w:rsidR="0010387B">
        <w:rPr>
          <w:sz w:val="22"/>
          <w:szCs w:val="22"/>
        </w:rPr>
        <w:t xml:space="preserve">student stipend (at </w:t>
      </w:r>
      <w:r w:rsidR="00E538B0">
        <w:rPr>
          <w:sz w:val="22"/>
          <w:szCs w:val="22"/>
        </w:rPr>
        <w:t>UKRI stipend levels</w:t>
      </w:r>
      <w:r w:rsidR="0010387B">
        <w:rPr>
          <w:sz w:val="22"/>
          <w:szCs w:val="22"/>
        </w:rPr>
        <w:t>)</w:t>
      </w:r>
      <w:r w:rsidR="00E538B0">
        <w:rPr>
          <w:sz w:val="22"/>
          <w:szCs w:val="22"/>
        </w:rPr>
        <w:t xml:space="preserve"> </w:t>
      </w:r>
      <w:r w:rsidR="00854D0B">
        <w:rPr>
          <w:sz w:val="22"/>
          <w:szCs w:val="22"/>
        </w:rPr>
        <w:t xml:space="preserve">is available towards the cost of </w:t>
      </w:r>
      <w:r w:rsidR="00F158DF">
        <w:rPr>
          <w:sz w:val="22"/>
          <w:szCs w:val="22"/>
        </w:rPr>
        <w:t>a</w:t>
      </w:r>
      <w:r w:rsidR="00854D0B">
        <w:rPr>
          <w:sz w:val="22"/>
          <w:szCs w:val="22"/>
        </w:rPr>
        <w:t xml:space="preserve"> studentship. </w:t>
      </w:r>
    </w:p>
    <w:p w14:paraId="2790BA9A" w14:textId="77777777" w:rsidR="00090CC5" w:rsidRDefault="00090CC5" w:rsidP="00090CC5">
      <w:pPr>
        <w:pStyle w:val="Default"/>
        <w:rPr>
          <w:sz w:val="22"/>
          <w:szCs w:val="22"/>
        </w:rPr>
      </w:pPr>
    </w:p>
    <w:p w14:paraId="37FE4CC4" w14:textId="39CE3A0B" w:rsidR="00090CC5" w:rsidRDefault="00090CC5" w:rsidP="00090CC5">
      <w:pPr>
        <w:pStyle w:val="Default"/>
        <w:rPr>
          <w:sz w:val="22"/>
          <w:szCs w:val="22"/>
        </w:rPr>
      </w:pPr>
      <w:r>
        <w:rPr>
          <w:b/>
          <w:bCs/>
          <w:sz w:val="22"/>
          <w:szCs w:val="22"/>
        </w:rPr>
        <w:t xml:space="preserve">The University Partner shall be responsible for all of the remaining costs of the studentship and any other remaining costs to the project, including </w:t>
      </w:r>
      <w:r w:rsidRPr="00090CC5">
        <w:rPr>
          <w:b/>
          <w:bCs/>
          <w:sz w:val="22"/>
          <w:szCs w:val="22"/>
        </w:rPr>
        <w:t xml:space="preserve">consumables, training, travel and any top-up payments to the student stipend. </w:t>
      </w:r>
    </w:p>
    <w:p w14:paraId="42933C52" w14:textId="77777777" w:rsidR="00505AE9" w:rsidRDefault="00505AE9" w:rsidP="00854D0B">
      <w:pPr>
        <w:pStyle w:val="Default"/>
        <w:rPr>
          <w:sz w:val="22"/>
          <w:szCs w:val="22"/>
        </w:rPr>
      </w:pPr>
    </w:p>
    <w:p w14:paraId="257DF420" w14:textId="54E6DC17" w:rsidR="00505AE9" w:rsidRDefault="00854D0B" w:rsidP="00854D0B">
      <w:pPr>
        <w:pStyle w:val="Default"/>
        <w:rPr>
          <w:sz w:val="22"/>
          <w:szCs w:val="22"/>
        </w:rPr>
      </w:pPr>
      <w:r>
        <w:rPr>
          <w:sz w:val="22"/>
          <w:szCs w:val="22"/>
        </w:rPr>
        <w:t xml:space="preserve">The maximum contribution available will be calculated and fixed at time of application </w:t>
      </w:r>
      <w:r w:rsidR="00CC4974">
        <w:rPr>
          <w:sz w:val="22"/>
          <w:szCs w:val="22"/>
        </w:rPr>
        <w:t xml:space="preserve">and </w:t>
      </w:r>
      <w:proofErr w:type="gramStart"/>
      <w:r w:rsidR="00CC4974">
        <w:rPr>
          <w:sz w:val="22"/>
          <w:szCs w:val="22"/>
        </w:rPr>
        <w:t xml:space="preserve">will be </w:t>
      </w:r>
      <w:r>
        <w:rPr>
          <w:sz w:val="22"/>
          <w:szCs w:val="22"/>
        </w:rPr>
        <w:t>based</w:t>
      </w:r>
      <w:proofErr w:type="gramEnd"/>
      <w:r>
        <w:rPr>
          <w:sz w:val="22"/>
          <w:szCs w:val="22"/>
        </w:rPr>
        <w:t xml:space="preserve"> on published </w:t>
      </w:r>
      <w:hyperlink r:id="rId7" w:history="1">
        <w:r w:rsidR="00BB5261" w:rsidRPr="00BB5261">
          <w:rPr>
            <w:rStyle w:val="Hyperlink"/>
            <w:sz w:val="22"/>
            <w:szCs w:val="22"/>
          </w:rPr>
          <w:t xml:space="preserve">UKRI </w:t>
        </w:r>
        <w:r w:rsidR="00CC4974">
          <w:rPr>
            <w:rStyle w:val="Hyperlink"/>
            <w:sz w:val="22"/>
            <w:szCs w:val="22"/>
          </w:rPr>
          <w:t>guidelines for fees/s</w:t>
        </w:r>
        <w:r w:rsidRPr="00BB5261">
          <w:rPr>
            <w:rStyle w:val="Hyperlink"/>
            <w:sz w:val="22"/>
            <w:szCs w:val="22"/>
          </w:rPr>
          <w:t>tipend</w:t>
        </w:r>
      </w:hyperlink>
      <w:r w:rsidR="007E0C12">
        <w:rPr>
          <w:sz w:val="22"/>
          <w:szCs w:val="22"/>
        </w:rPr>
        <w:t xml:space="preserve">. As assumption of a </w:t>
      </w:r>
      <w:r>
        <w:rPr>
          <w:sz w:val="22"/>
          <w:szCs w:val="22"/>
        </w:rPr>
        <w:t xml:space="preserve">2.5% </w:t>
      </w:r>
      <w:r w:rsidR="00CC4974">
        <w:rPr>
          <w:sz w:val="22"/>
          <w:szCs w:val="22"/>
        </w:rPr>
        <w:t xml:space="preserve">annual </w:t>
      </w:r>
      <w:r w:rsidR="00C63254">
        <w:rPr>
          <w:sz w:val="22"/>
          <w:szCs w:val="22"/>
        </w:rPr>
        <w:t>increase f</w:t>
      </w:r>
      <w:r>
        <w:rPr>
          <w:sz w:val="22"/>
          <w:szCs w:val="22"/>
        </w:rPr>
        <w:t xml:space="preserve">or inflation </w:t>
      </w:r>
      <w:r w:rsidR="007E0C12">
        <w:rPr>
          <w:sz w:val="22"/>
          <w:szCs w:val="22"/>
        </w:rPr>
        <w:t xml:space="preserve">is made. </w:t>
      </w:r>
    </w:p>
    <w:p w14:paraId="6C0B3D66" w14:textId="287E2A4E" w:rsidR="00505AE9" w:rsidRDefault="00505AE9" w:rsidP="00854D0B">
      <w:pPr>
        <w:pStyle w:val="Default"/>
        <w:rPr>
          <w:sz w:val="22"/>
          <w:szCs w:val="22"/>
        </w:rPr>
      </w:pPr>
    </w:p>
    <w:p w14:paraId="020D6704" w14:textId="77777777" w:rsidR="006663A8" w:rsidRDefault="006663A8" w:rsidP="006652A5">
      <w:pPr>
        <w:pStyle w:val="Default"/>
        <w:rPr>
          <w:sz w:val="22"/>
          <w:szCs w:val="22"/>
        </w:rPr>
      </w:pPr>
    </w:p>
    <w:p w14:paraId="41E83231" w14:textId="77777777" w:rsidR="006663A8" w:rsidRDefault="006663A8" w:rsidP="006652A5">
      <w:pPr>
        <w:pStyle w:val="Default"/>
        <w:rPr>
          <w:sz w:val="22"/>
          <w:szCs w:val="22"/>
        </w:rPr>
      </w:pPr>
    </w:p>
    <w:p w14:paraId="6C8A0245" w14:textId="77777777" w:rsidR="006663A8" w:rsidRDefault="006663A8" w:rsidP="006652A5">
      <w:pPr>
        <w:pStyle w:val="Default"/>
        <w:rPr>
          <w:sz w:val="22"/>
          <w:szCs w:val="22"/>
        </w:rPr>
      </w:pPr>
    </w:p>
    <w:p w14:paraId="03A4B1FE" w14:textId="77777777" w:rsidR="006663A8" w:rsidRDefault="006663A8" w:rsidP="006652A5">
      <w:pPr>
        <w:pStyle w:val="Default"/>
        <w:rPr>
          <w:sz w:val="22"/>
          <w:szCs w:val="22"/>
        </w:rPr>
      </w:pPr>
    </w:p>
    <w:p w14:paraId="06CD8FD5" w14:textId="77777777" w:rsidR="006663A8" w:rsidRDefault="006663A8" w:rsidP="006652A5">
      <w:pPr>
        <w:pStyle w:val="Default"/>
        <w:rPr>
          <w:sz w:val="22"/>
          <w:szCs w:val="22"/>
        </w:rPr>
      </w:pPr>
    </w:p>
    <w:p w14:paraId="64A4322B" w14:textId="77777777" w:rsidR="006663A8" w:rsidRDefault="006663A8" w:rsidP="006652A5">
      <w:pPr>
        <w:pStyle w:val="Default"/>
        <w:rPr>
          <w:sz w:val="22"/>
          <w:szCs w:val="22"/>
        </w:rPr>
      </w:pPr>
    </w:p>
    <w:p w14:paraId="5D8A79D6" w14:textId="77777777" w:rsidR="006663A8" w:rsidRDefault="006663A8" w:rsidP="006652A5">
      <w:pPr>
        <w:pStyle w:val="Default"/>
        <w:rPr>
          <w:sz w:val="22"/>
          <w:szCs w:val="22"/>
        </w:rPr>
      </w:pPr>
    </w:p>
    <w:p w14:paraId="1972E528" w14:textId="77777777" w:rsidR="006663A8" w:rsidRDefault="006663A8" w:rsidP="006652A5">
      <w:pPr>
        <w:pStyle w:val="Default"/>
        <w:rPr>
          <w:sz w:val="22"/>
          <w:szCs w:val="22"/>
        </w:rPr>
      </w:pPr>
    </w:p>
    <w:p w14:paraId="63229786" w14:textId="77777777" w:rsidR="006663A8" w:rsidRDefault="006663A8" w:rsidP="006652A5">
      <w:pPr>
        <w:pStyle w:val="Default"/>
        <w:rPr>
          <w:sz w:val="22"/>
          <w:szCs w:val="22"/>
        </w:rPr>
      </w:pPr>
    </w:p>
    <w:p w14:paraId="00C5C82E" w14:textId="77777777" w:rsidR="00C95635" w:rsidRPr="00C95635" w:rsidRDefault="00C95635" w:rsidP="008449AD">
      <w:pPr>
        <w:pStyle w:val="Default"/>
        <w:rPr>
          <w:b/>
          <w:bCs/>
          <w:sz w:val="22"/>
          <w:szCs w:val="22"/>
        </w:rPr>
      </w:pPr>
      <w:r w:rsidRPr="00C95635">
        <w:rPr>
          <w:b/>
          <w:bCs/>
          <w:sz w:val="22"/>
          <w:szCs w:val="22"/>
        </w:rPr>
        <w:t>PhD</w:t>
      </w:r>
    </w:p>
    <w:p w14:paraId="0D489D5C" w14:textId="5445471B" w:rsidR="008449AD" w:rsidRDefault="008449AD" w:rsidP="008449AD">
      <w:pPr>
        <w:pStyle w:val="Default"/>
        <w:rPr>
          <w:sz w:val="22"/>
          <w:szCs w:val="22"/>
        </w:rPr>
      </w:pPr>
      <w:r>
        <w:rPr>
          <w:sz w:val="22"/>
          <w:szCs w:val="22"/>
        </w:rPr>
        <w:t xml:space="preserve">Based on the cost of a studentship for AY 2019-20, the total amount of funding available from CENSIS for one studentship for a </w:t>
      </w:r>
      <w:r w:rsidRPr="006663A8">
        <w:rPr>
          <w:b/>
          <w:sz w:val="22"/>
          <w:szCs w:val="22"/>
        </w:rPr>
        <w:t>maximum of 3.5 years</w:t>
      </w:r>
      <w:r>
        <w:rPr>
          <w:sz w:val="22"/>
          <w:szCs w:val="22"/>
        </w:rPr>
        <w:t xml:space="preserve"> </w:t>
      </w:r>
      <w:proofErr w:type="gramStart"/>
      <w:r>
        <w:rPr>
          <w:sz w:val="22"/>
          <w:szCs w:val="22"/>
        </w:rPr>
        <w:t>will be assumed</w:t>
      </w:r>
      <w:proofErr w:type="gramEnd"/>
      <w:r>
        <w:rPr>
          <w:sz w:val="22"/>
          <w:szCs w:val="22"/>
        </w:rPr>
        <w:t xml:space="preserve"> to be:</w:t>
      </w:r>
    </w:p>
    <w:p w14:paraId="35C99D80" w14:textId="77777777" w:rsidR="008449AD" w:rsidRDefault="008449AD" w:rsidP="008449AD">
      <w:pPr>
        <w:pStyle w:val="Default"/>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98"/>
        <w:gridCol w:w="2454"/>
        <w:gridCol w:w="2910"/>
      </w:tblGrid>
      <w:tr w:rsidR="008449AD" w14:paraId="06632AC9" w14:textId="77777777" w:rsidTr="008D42E8">
        <w:trPr>
          <w:trHeight w:val="110"/>
        </w:trPr>
        <w:tc>
          <w:tcPr>
            <w:tcW w:w="3298" w:type="dxa"/>
          </w:tcPr>
          <w:p w14:paraId="12AC117E" w14:textId="77777777" w:rsidR="008449AD" w:rsidRDefault="008449AD" w:rsidP="008D42E8">
            <w:pPr>
              <w:pStyle w:val="Default"/>
              <w:rPr>
                <w:sz w:val="22"/>
                <w:szCs w:val="22"/>
              </w:rPr>
            </w:pPr>
          </w:p>
        </w:tc>
        <w:tc>
          <w:tcPr>
            <w:tcW w:w="2454" w:type="dxa"/>
          </w:tcPr>
          <w:p w14:paraId="6E27C804" w14:textId="77777777" w:rsidR="008449AD" w:rsidRDefault="008449AD" w:rsidP="008D42E8">
            <w:pPr>
              <w:pStyle w:val="Default"/>
              <w:rPr>
                <w:sz w:val="22"/>
                <w:szCs w:val="22"/>
              </w:rPr>
            </w:pPr>
            <w:r>
              <w:rPr>
                <w:sz w:val="22"/>
                <w:szCs w:val="22"/>
              </w:rPr>
              <w:t>2019-20 funding levels –UKRI</w:t>
            </w:r>
          </w:p>
        </w:tc>
        <w:tc>
          <w:tcPr>
            <w:tcW w:w="2910" w:type="dxa"/>
          </w:tcPr>
          <w:p w14:paraId="073138F8" w14:textId="77777777" w:rsidR="008449AD" w:rsidRPr="00C63254" w:rsidRDefault="008449AD" w:rsidP="008D42E8">
            <w:pPr>
              <w:pStyle w:val="Default"/>
              <w:rPr>
                <w:b/>
                <w:sz w:val="22"/>
                <w:szCs w:val="22"/>
              </w:rPr>
            </w:pPr>
            <w:r>
              <w:rPr>
                <w:sz w:val="22"/>
                <w:szCs w:val="22"/>
              </w:rPr>
              <w:t>Est. total (incl. 2.5% annual increase)</w:t>
            </w:r>
          </w:p>
        </w:tc>
      </w:tr>
      <w:tr w:rsidR="008449AD" w14:paraId="32A7A3C2" w14:textId="77777777" w:rsidTr="008D42E8">
        <w:trPr>
          <w:trHeight w:val="110"/>
        </w:trPr>
        <w:tc>
          <w:tcPr>
            <w:tcW w:w="3298" w:type="dxa"/>
          </w:tcPr>
          <w:p w14:paraId="256D0656" w14:textId="77777777" w:rsidR="008449AD" w:rsidRDefault="008449AD" w:rsidP="008D42E8">
            <w:pPr>
              <w:pStyle w:val="Default"/>
              <w:rPr>
                <w:sz w:val="22"/>
                <w:szCs w:val="22"/>
              </w:rPr>
            </w:pPr>
            <w:r>
              <w:rPr>
                <w:sz w:val="22"/>
                <w:szCs w:val="22"/>
              </w:rPr>
              <w:t xml:space="preserve">Fees </w:t>
            </w:r>
          </w:p>
        </w:tc>
        <w:tc>
          <w:tcPr>
            <w:tcW w:w="2454" w:type="dxa"/>
          </w:tcPr>
          <w:p w14:paraId="6298D640" w14:textId="77777777" w:rsidR="008449AD" w:rsidRDefault="008449AD" w:rsidP="008D42E8">
            <w:pPr>
              <w:pStyle w:val="Default"/>
              <w:rPr>
                <w:sz w:val="22"/>
                <w:szCs w:val="22"/>
              </w:rPr>
            </w:pPr>
            <w:r>
              <w:rPr>
                <w:sz w:val="22"/>
                <w:szCs w:val="22"/>
              </w:rPr>
              <w:t>£4,327 (2019-20)</w:t>
            </w:r>
          </w:p>
        </w:tc>
        <w:tc>
          <w:tcPr>
            <w:tcW w:w="2910" w:type="dxa"/>
          </w:tcPr>
          <w:p w14:paraId="1C603A41" w14:textId="77777777" w:rsidR="008449AD" w:rsidRPr="00C63254" w:rsidRDefault="008449AD" w:rsidP="008D42E8">
            <w:pPr>
              <w:pStyle w:val="Default"/>
              <w:rPr>
                <w:b/>
                <w:sz w:val="22"/>
                <w:szCs w:val="22"/>
              </w:rPr>
            </w:pPr>
            <w:r w:rsidRPr="00C63254">
              <w:rPr>
                <w:b/>
                <w:sz w:val="22"/>
                <w:szCs w:val="22"/>
              </w:rPr>
              <w:t>£</w:t>
            </w:r>
            <w:r>
              <w:rPr>
                <w:b/>
                <w:sz w:val="22"/>
                <w:szCs w:val="22"/>
              </w:rPr>
              <w:t>16,029</w:t>
            </w:r>
          </w:p>
        </w:tc>
      </w:tr>
      <w:tr w:rsidR="008449AD" w14:paraId="4123625C" w14:textId="77777777" w:rsidTr="008D42E8">
        <w:trPr>
          <w:trHeight w:val="110"/>
        </w:trPr>
        <w:tc>
          <w:tcPr>
            <w:tcW w:w="3298" w:type="dxa"/>
          </w:tcPr>
          <w:p w14:paraId="644222A4" w14:textId="77777777" w:rsidR="008449AD" w:rsidRDefault="008449AD" w:rsidP="008D42E8">
            <w:pPr>
              <w:pStyle w:val="Default"/>
              <w:rPr>
                <w:sz w:val="22"/>
                <w:szCs w:val="22"/>
              </w:rPr>
            </w:pPr>
            <w:r>
              <w:rPr>
                <w:sz w:val="22"/>
                <w:szCs w:val="22"/>
              </w:rPr>
              <w:t>Stipend (based on PhD stipend levels)</w:t>
            </w:r>
          </w:p>
        </w:tc>
        <w:tc>
          <w:tcPr>
            <w:tcW w:w="2454" w:type="dxa"/>
          </w:tcPr>
          <w:p w14:paraId="5837CD43" w14:textId="77777777" w:rsidR="008449AD" w:rsidRDefault="008449AD" w:rsidP="008D42E8">
            <w:pPr>
              <w:pStyle w:val="Default"/>
              <w:rPr>
                <w:sz w:val="22"/>
                <w:szCs w:val="22"/>
              </w:rPr>
            </w:pPr>
            <w:r>
              <w:rPr>
                <w:sz w:val="22"/>
                <w:szCs w:val="22"/>
              </w:rPr>
              <w:t>£15,009 (2019-20)</w:t>
            </w:r>
          </w:p>
        </w:tc>
        <w:tc>
          <w:tcPr>
            <w:tcW w:w="2910" w:type="dxa"/>
          </w:tcPr>
          <w:p w14:paraId="6FCA5B74" w14:textId="77777777" w:rsidR="008449AD" w:rsidRPr="00C63254" w:rsidRDefault="008449AD" w:rsidP="008D42E8">
            <w:pPr>
              <w:pStyle w:val="Default"/>
              <w:rPr>
                <w:b/>
                <w:sz w:val="22"/>
                <w:szCs w:val="22"/>
              </w:rPr>
            </w:pPr>
            <w:r w:rsidRPr="00C63254">
              <w:rPr>
                <w:b/>
                <w:sz w:val="22"/>
                <w:szCs w:val="22"/>
              </w:rPr>
              <w:t>£</w:t>
            </w:r>
            <w:r>
              <w:rPr>
                <w:b/>
                <w:sz w:val="22"/>
                <w:szCs w:val="22"/>
              </w:rPr>
              <w:t>55,600</w:t>
            </w:r>
          </w:p>
        </w:tc>
      </w:tr>
      <w:tr w:rsidR="008449AD" w14:paraId="329AF3A8" w14:textId="77777777" w:rsidTr="008D42E8">
        <w:trPr>
          <w:trHeight w:val="110"/>
        </w:trPr>
        <w:tc>
          <w:tcPr>
            <w:tcW w:w="3298" w:type="dxa"/>
          </w:tcPr>
          <w:p w14:paraId="05812896" w14:textId="77777777" w:rsidR="008449AD" w:rsidRDefault="008449AD" w:rsidP="008D42E8">
            <w:pPr>
              <w:pStyle w:val="Default"/>
              <w:rPr>
                <w:b/>
                <w:bCs/>
                <w:sz w:val="22"/>
                <w:szCs w:val="22"/>
              </w:rPr>
            </w:pPr>
            <w:r>
              <w:rPr>
                <w:b/>
                <w:bCs/>
                <w:sz w:val="22"/>
                <w:szCs w:val="22"/>
              </w:rPr>
              <w:t>Total value – fees and stipend</w:t>
            </w:r>
          </w:p>
        </w:tc>
        <w:tc>
          <w:tcPr>
            <w:tcW w:w="5364" w:type="dxa"/>
            <w:gridSpan w:val="2"/>
          </w:tcPr>
          <w:p w14:paraId="46FEA8B5" w14:textId="77777777" w:rsidR="008449AD" w:rsidRDefault="008449AD" w:rsidP="008D42E8">
            <w:pPr>
              <w:pStyle w:val="Default"/>
              <w:rPr>
                <w:b/>
                <w:bCs/>
                <w:sz w:val="22"/>
                <w:szCs w:val="22"/>
              </w:rPr>
            </w:pPr>
            <w:r>
              <w:rPr>
                <w:b/>
                <w:bCs/>
                <w:sz w:val="22"/>
                <w:szCs w:val="22"/>
              </w:rPr>
              <w:t>£ 71,629</w:t>
            </w:r>
          </w:p>
        </w:tc>
      </w:tr>
      <w:tr w:rsidR="008449AD" w14:paraId="7748BDED" w14:textId="77777777" w:rsidTr="008D42E8">
        <w:trPr>
          <w:trHeight w:val="110"/>
        </w:trPr>
        <w:tc>
          <w:tcPr>
            <w:tcW w:w="3298" w:type="dxa"/>
          </w:tcPr>
          <w:p w14:paraId="7D824DF1" w14:textId="77777777" w:rsidR="008449AD" w:rsidRPr="00B139BF" w:rsidRDefault="008449AD" w:rsidP="008D42E8">
            <w:pPr>
              <w:pStyle w:val="Default"/>
              <w:rPr>
                <w:b/>
                <w:sz w:val="22"/>
                <w:szCs w:val="22"/>
              </w:rPr>
            </w:pPr>
            <w:r w:rsidRPr="00B139BF">
              <w:rPr>
                <w:b/>
                <w:sz w:val="22"/>
                <w:szCs w:val="22"/>
              </w:rPr>
              <w:t>50% available from CENSIS</w:t>
            </w:r>
          </w:p>
        </w:tc>
        <w:tc>
          <w:tcPr>
            <w:tcW w:w="5364" w:type="dxa"/>
            <w:gridSpan w:val="2"/>
          </w:tcPr>
          <w:p w14:paraId="0AF5158F" w14:textId="77777777" w:rsidR="008449AD" w:rsidRPr="00B139BF" w:rsidRDefault="008449AD" w:rsidP="008D42E8">
            <w:pPr>
              <w:pStyle w:val="Default"/>
              <w:rPr>
                <w:b/>
                <w:sz w:val="22"/>
                <w:szCs w:val="22"/>
              </w:rPr>
            </w:pPr>
            <w:r w:rsidRPr="00B139BF">
              <w:rPr>
                <w:b/>
                <w:sz w:val="22"/>
                <w:szCs w:val="22"/>
              </w:rPr>
              <w:t xml:space="preserve">£ </w:t>
            </w:r>
            <w:r>
              <w:rPr>
                <w:b/>
                <w:sz w:val="22"/>
                <w:szCs w:val="22"/>
              </w:rPr>
              <w:t>35,814</w:t>
            </w:r>
          </w:p>
        </w:tc>
      </w:tr>
    </w:tbl>
    <w:p w14:paraId="3CAB2908" w14:textId="77777777" w:rsidR="008449AD" w:rsidRDefault="008449AD" w:rsidP="008449AD">
      <w:pPr>
        <w:pStyle w:val="Default"/>
        <w:rPr>
          <w:sz w:val="22"/>
          <w:szCs w:val="22"/>
        </w:rPr>
      </w:pPr>
    </w:p>
    <w:p w14:paraId="702C655A" w14:textId="77777777" w:rsidR="00C95635" w:rsidRPr="00C95635" w:rsidRDefault="00C95635" w:rsidP="00090CC5">
      <w:pPr>
        <w:pStyle w:val="Default"/>
        <w:rPr>
          <w:b/>
          <w:bCs/>
          <w:sz w:val="22"/>
          <w:szCs w:val="22"/>
        </w:rPr>
      </w:pPr>
      <w:r w:rsidRPr="00C95635">
        <w:rPr>
          <w:b/>
          <w:bCs/>
          <w:sz w:val="22"/>
          <w:szCs w:val="22"/>
        </w:rPr>
        <w:t>EngD/CDT</w:t>
      </w:r>
    </w:p>
    <w:p w14:paraId="76820BB5" w14:textId="43E2D5AF" w:rsidR="006663A8" w:rsidRDefault="006652A5" w:rsidP="00090CC5">
      <w:pPr>
        <w:pStyle w:val="Default"/>
        <w:rPr>
          <w:sz w:val="22"/>
          <w:szCs w:val="22"/>
        </w:rPr>
      </w:pPr>
      <w:r>
        <w:rPr>
          <w:sz w:val="22"/>
          <w:szCs w:val="22"/>
        </w:rPr>
        <w:t>Based on the cost of a studentship for AY 20</w:t>
      </w:r>
      <w:r w:rsidR="00090CC5">
        <w:rPr>
          <w:sz w:val="22"/>
          <w:szCs w:val="22"/>
        </w:rPr>
        <w:t>19</w:t>
      </w:r>
      <w:r>
        <w:rPr>
          <w:sz w:val="22"/>
          <w:szCs w:val="22"/>
        </w:rPr>
        <w:t>-</w:t>
      </w:r>
      <w:r w:rsidR="00090CC5">
        <w:rPr>
          <w:sz w:val="22"/>
          <w:szCs w:val="22"/>
        </w:rPr>
        <w:t>20</w:t>
      </w:r>
      <w:r>
        <w:rPr>
          <w:sz w:val="22"/>
          <w:szCs w:val="22"/>
        </w:rPr>
        <w:t xml:space="preserve">, the total </w:t>
      </w:r>
      <w:r w:rsidR="00E538B0">
        <w:rPr>
          <w:sz w:val="22"/>
          <w:szCs w:val="22"/>
        </w:rPr>
        <w:t xml:space="preserve">amount of funding available from CENSIS for one </w:t>
      </w:r>
      <w:r>
        <w:rPr>
          <w:sz w:val="22"/>
          <w:szCs w:val="22"/>
        </w:rPr>
        <w:t xml:space="preserve">studentship for a </w:t>
      </w:r>
      <w:r w:rsidRPr="006663A8">
        <w:rPr>
          <w:b/>
          <w:sz w:val="22"/>
          <w:szCs w:val="22"/>
        </w:rPr>
        <w:t>maximum of four years</w:t>
      </w:r>
      <w:r>
        <w:rPr>
          <w:sz w:val="22"/>
          <w:szCs w:val="22"/>
        </w:rPr>
        <w:t xml:space="preserve"> </w:t>
      </w:r>
      <w:proofErr w:type="gramStart"/>
      <w:r>
        <w:rPr>
          <w:sz w:val="22"/>
          <w:szCs w:val="22"/>
        </w:rPr>
        <w:t>will be assumed</w:t>
      </w:r>
      <w:proofErr w:type="gramEnd"/>
      <w:r>
        <w:rPr>
          <w:sz w:val="22"/>
          <w:szCs w:val="22"/>
        </w:rPr>
        <w:t xml:space="preserve"> to be:</w:t>
      </w:r>
    </w:p>
    <w:p w14:paraId="775A4253" w14:textId="77777777" w:rsidR="006652A5" w:rsidRDefault="006652A5" w:rsidP="006652A5">
      <w:pPr>
        <w:pStyle w:val="Default"/>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98"/>
        <w:gridCol w:w="2454"/>
        <w:gridCol w:w="2910"/>
      </w:tblGrid>
      <w:tr w:rsidR="006652A5" w14:paraId="114C9724" w14:textId="77777777" w:rsidTr="000459B2">
        <w:trPr>
          <w:trHeight w:val="110"/>
        </w:trPr>
        <w:tc>
          <w:tcPr>
            <w:tcW w:w="3298" w:type="dxa"/>
          </w:tcPr>
          <w:p w14:paraId="5CAF5E71" w14:textId="77777777" w:rsidR="006652A5" w:rsidRDefault="006652A5" w:rsidP="000459B2">
            <w:pPr>
              <w:pStyle w:val="Default"/>
              <w:rPr>
                <w:sz w:val="22"/>
                <w:szCs w:val="22"/>
              </w:rPr>
            </w:pPr>
          </w:p>
        </w:tc>
        <w:tc>
          <w:tcPr>
            <w:tcW w:w="2454" w:type="dxa"/>
          </w:tcPr>
          <w:p w14:paraId="4EC6EB4B" w14:textId="523DAA51" w:rsidR="006652A5" w:rsidRDefault="006652A5" w:rsidP="000459B2">
            <w:pPr>
              <w:pStyle w:val="Default"/>
              <w:rPr>
                <w:sz w:val="22"/>
                <w:szCs w:val="22"/>
              </w:rPr>
            </w:pPr>
            <w:r>
              <w:rPr>
                <w:sz w:val="22"/>
                <w:szCs w:val="22"/>
              </w:rPr>
              <w:t>201</w:t>
            </w:r>
            <w:r w:rsidR="00E538B0">
              <w:rPr>
                <w:sz w:val="22"/>
                <w:szCs w:val="22"/>
              </w:rPr>
              <w:t>9-20</w:t>
            </w:r>
            <w:r>
              <w:rPr>
                <w:sz w:val="22"/>
                <w:szCs w:val="22"/>
              </w:rPr>
              <w:t xml:space="preserve"> funding levels -UKRI</w:t>
            </w:r>
          </w:p>
        </w:tc>
        <w:tc>
          <w:tcPr>
            <w:tcW w:w="2910" w:type="dxa"/>
          </w:tcPr>
          <w:p w14:paraId="403D78B5" w14:textId="1C6668B7" w:rsidR="006652A5" w:rsidRPr="00C63254" w:rsidRDefault="006652A5" w:rsidP="000459B2">
            <w:pPr>
              <w:pStyle w:val="Default"/>
              <w:rPr>
                <w:b/>
                <w:sz w:val="22"/>
                <w:szCs w:val="22"/>
              </w:rPr>
            </w:pPr>
            <w:r>
              <w:rPr>
                <w:sz w:val="22"/>
                <w:szCs w:val="22"/>
              </w:rPr>
              <w:t>Est. total (</w:t>
            </w:r>
            <w:r w:rsidR="00E538B0">
              <w:rPr>
                <w:sz w:val="22"/>
                <w:szCs w:val="22"/>
              </w:rPr>
              <w:t xml:space="preserve">incl. </w:t>
            </w:r>
            <w:r>
              <w:rPr>
                <w:sz w:val="22"/>
                <w:szCs w:val="22"/>
              </w:rPr>
              <w:t>2.5% annual increase)</w:t>
            </w:r>
          </w:p>
        </w:tc>
      </w:tr>
      <w:tr w:rsidR="006652A5" w14:paraId="37E9953F" w14:textId="77777777" w:rsidTr="000459B2">
        <w:trPr>
          <w:trHeight w:val="110"/>
        </w:trPr>
        <w:tc>
          <w:tcPr>
            <w:tcW w:w="3298" w:type="dxa"/>
          </w:tcPr>
          <w:p w14:paraId="424EFC52" w14:textId="77777777" w:rsidR="006652A5" w:rsidRDefault="006652A5" w:rsidP="000459B2">
            <w:pPr>
              <w:pStyle w:val="Default"/>
              <w:rPr>
                <w:sz w:val="22"/>
                <w:szCs w:val="22"/>
              </w:rPr>
            </w:pPr>
            <w:r>
              <w:rPr>
                <w:sz w:val="22"/>
                <w:szCs w:val="22"/>
              </w:rPr>
              <w:t xml:space="preserve">Fees </w:t>
            </w:r>
          </w:p>
        </w:tc>
        <w:tc>
          <w:tcPr>
            <w:tcW w:w="2454" w:type="dxa"/>
          </w:tcPr>
          <w:p w14:paraId="6B32B120" w14:textId="4CC32D6A" w:rsidR="006652A5" w:rsidRDefault="006652A5" w:rsidP="00090CC5">
            <w:pPr>
              <w:pStyle w:val="Default"/>
              <w:rPr>
                <w:sz w:val="22"/>
                <w:szCs w:val="22"/>
              </w:rPr>
            </w:pPr>
            <w:r>
              <w:rPr>
                <w:sz w:val="22"/>
                <w:szCs w:val="22"/>
              </w:rPr>
              <w:t>£</w:t>
            </w:r>
            <w:r w:rsidR="00090CC5">
              <w:rPr>
                <w:sz w:val="22"/>
                <w:szCs w:val="22"/>
              </w:rPr>
              <w:t>4,327</w:t>
            </w:r>
            <w:r>
              <w:rPr>
                <w:sz w:val="22"/>
                <w:szCs w:val="22"/>
              </w:rPr>
              <w:t xml:space="preserve"> (20</w:t>
            </w:r>
            <w:r w:rsidR="00E538B0">
              <w:rPr>
                <w:sz w:val="22"/>
                <w:szCs w:val="22"/>
              </w:rPr>
              <w:t>19-20</w:t>
            </w:r>
            <w:r>
              <w:rPr>
                <w:sz w:val="22"/>
                <w:szCs w:val="22"/>
              </w:rPr>
              <w:t>)</w:t>
            </w:r>
          </w:p>
        </w:tc>
        <w:tc>
          <w:tcPr>
            <w:tcW w:w="2910" w:type="dxa"/>
          </w:tcPr>
          <w:p w14:paraId="12C20294" w14:textId="57DAD9E7" w:rsidR="006652A5" w:rsidRPr="00C63254" w:rsidRDefault="006652A5" w:rsidP="009660AB">
            <w:pPr>
              <w:pStyle w:val="Default"/>
              <w:rPr>
                <w:b/>
                <w:sz w:val="22"/>
                <w:szCs w:val="22"/>
              </w:rPr>
            </w:pPr>
            <w:r w:rsidRPr="00C63254">
              <w:rPr>
                <w:b/>
                <w:sz w:val="22"/>
                <w:szCs w:val="22"/>
              </w:rPr>
              <w:t>£</w:t>
            </w:r>
            <w:r w:rsidR="009660AB">
              <w:rPr>
                <w:b/>
                <w:sz w:val="22"/>
                <w:szCs w:val="22"/>
              </w:rPr>
              <w:t>18,417</w:t>
            </w:r>
            <w:r w:rsidRPr="00C63254">
              <w:rPr>
                <w:b/>
                <w:sz w:val="22"/>
                <w:szCs w:val="22"/>
              </w:rPr>
              <w:t xml:space="preserve"> </w:t>
            </w:r>
          </w:p>
        </w:tc>
      </w:tr>
      <w:tr w:rsidR="006652A5" w14:paraId="07FEB0CD" w14:textId="77777777" w:rsidTr="000459B2">
        <w:trPr>
          <w:trHeight w:val="110"/>
        </w:trPr>
        <w:tc>
          <w:tcPr>
            <w:tcW w:w="3298" w:type="dxa"/>
          </w:tcPr>
          <w:p w14:paraId="170F758B" w14:textId="77777777" w:rsidR="006652A5" w:rsidRDefault="006652A5" w:rsidP="000459B2">
            <w:pPr>
              <w:pStyle w:val="Default"/>
              <w:rPr>
                <w:sz w:val="22"/>
                <w:szCs w:val="22"/>
              </w:rPr>
            </w:pPr>
            <w:r>
              <w:rPr>
                <w:sz w:val="22"/>
                <w:szCs w:val="22"/>
              </w:rPr>
              <w:t>Stipend (based on PhD stipend levels)</w:t>
            </w:r>
          </w:p>
        </w:tc>
        <w:tc>
          <w:tcPr>
            <w:tcW w:w="2454" w:type="dxa"/>
          </w:tcPr>
          <w:p w14:paraId="471D1F4D" w14:textId="54BDB31B" w:rsidR="006652A5" w:rsidRDefault="006652A5" w:rsidP="00090CC5">
            <w:pPr>
              <w:pStyle w:val="Default"/>
              <w:rPr>
                <w:sz w:val="22"/>
                <w:szCs w:val="22"/>
              </w:rPr>
            </w:pPr>
            <w:r>
              <w:rPr>
                <w:sz w:val="22"/>
                <w:szCs w:val="22"/>
              </w:rPr>
              <w:t>£</w:t>
            </w:r>
            <w:r w:rsidR="00090CC5">
              <w:rPr>
                <w:sz w:val="22"/>
                <w:szCs w:val="22"/>
              </w:rPr>
              <w:t xml:space="preserve">15,009 </w:t>
            </w:r>
            <w:r>
              <w:rPr>
                <w:sz w:val="22"/>
                <w:szCs w:val="22"/>
              </w:rPr>
              <w:t>(201</w:t>
            </w:r>
            <w:r w:rsidR="00E538B0">
              <w:rPr>
                <w:sz w:val="22"/>
                <w:szCs w:val="22"/>
              </w:rPr>
              <w:t>9-20</w:t>
            </w:r>
            <w:r>
              <w:rPr>
                <w:sz w:val="22"/>
                <w:szCs w:val="22"/>
              </w:rPr>
              <w:t>)</w:t>
            </w:r>
          </w:p>
        </w:tc>
        <w:tc>
          <w:tcPr>
            <w:tcW w:w="2910" w:type="dxa"/>
          </w:tcPr>
          <w:p w14:paraId="7DFEE534" w14:textId="77777777" w:rsidR="008449AD" w:rsidRDefault="006652A5" w:rsidP="008449AD">
            <w:pPr>
              <w:pStyle w:val="Default"/>
              <w:rPr>
                <w:b/>
                <w:sz w:val="22"/>
                <w:szCs w:val="22"/>
              </w:rPr>
            </w:pPr>
            <w:r w:rsidRPr="00C63254">
              <w:rPr>
                <w:b/>
                <w:sz w:val="22"/>
                <w:szCs w:val="22"/>
              </w:rPr>
              <w:t>£</w:t>
            </w:r>
            <w:r w:rsidR="008449AD">
              <w:rPr>
                <w:b/>
                <w:sz w:val="22"/>
                <w:szCs w:val="22"/>
              </w:rPr>
              <w:t>63,883</w:t>
            </w:r>
          </w:p>
          <w:p w14:paraId="4346A397" w14:textId="7026079C" w:rsidR="006652A5" w:rsidRPr="00C63254" w:rsidRDefault="006652A5" w:rsidP="008449AD">
            <w:pPr>
              <w:pStyle w:val="Default"/>
              <w:rPr>
                <w:b/>
                <w:sz w:val="22"/>
                <w:szCs w:val="22"/>
              </w:rPr>
            </w:pPr>
            <w:r w:rsidRPr="00C63254">
              <w:rPr>
                <w:b/>
                <w:sz w:val="22"/>
                <w:szCs w:val="22"/>
              </w:rPr>
              <w:t xml:space="preserve"> </w:t>
            </w:r>
          </w:p>
        </w:tc>
      </w:tr>
      <w:tr w:rsidR="006652A5" w14:paraId="1F1C01A5" w14:textId="77777777" w:rsidTr="000459B2">
        <w:trPr>
          <w:trHeight w:val="110"/>
        </w:trPr>
        <w:tc>
          <w:tcPr>
            <w:tcW w:w="3298" w:type="dxa"/>
          </w:tcPr>
          <w:p w14:paraId="50D14CE3" w14:textId="26DCF0ED" w:rsidR="006652A5" w:rsidRDefault="006652A5" w:rsidP="008449AD">
            <w:pPr>
              <w:pStyle w:val="Default"/>
              <w:rPr>
                <w:b/>
                <w:bCs/>
                <w:sz w:val="22"/>
                <w:szCs w:val="22"/>
              </w:rPr>
            </w:pPr>
            <w:r>
              <w:rPr>
                <w:b/>
                <w:bCs/>
                <w:sz w:val="22"/>
                <w:szCs w:val="22"/>
              </w:rPr>
              <w:t xml:space="preserve">Total value </w:t>
            </w:r>
            <w:r w:rsidR="008449AD">
              <w:rPr>
                <w:b/>
                <w:bCs/>
                <w:sz w:val="22"/>
                <w:szCs w:val="22"/>
              </w:rPr>
              <w:t>– fees and stipend</w:t>
            </w:r>
          </w:p>
        </w:tc>
        <w:tc>
          <w:tcPr>
            <w:tcW w:w="5364" w:type="dxa"/>
            <w:gridSpan w:val="2"/>
          </w:tcPr>
          <w:p w14:paraId="087F84F3" w14:textId="77A41981" w:rsidR="006652A5" w:rsidRDefault="006652A5" w:rsidP="008449AD">
            <w:pPr>
              <w:pStyle w:val="Default"/>
              <w:rPr>
                <w:b/>
                <w:bCs/>
                <w:sz w:val="22"/>
                <w:szCs w:val="22"/>
              </w:rPr>
            </w:pPr>
            <w:r>
              <w:rPr>
                <w:b/>
                <w:bCs/>
                <w:sz w:val="22"/>
                <w:szCs w:val="22"/>
              </w:rPr>
              <w:t xml:space="preserve">£ </w:t>
            </w:r>
            <w:r w:rsidR="008449AD">
              <w:rPr>
                <w:b/>
                <w:bCs/>
                <w:sz w:val="22"/>
                <w:szCs w:val="22"/>
              </w:rPr>
              <w:t>82,300</w:t>
            </w:r>
          </w:p>
        </w:tc>
      </w:tr>
      <w:tr w:rsidR="006652A5" w14:paraId="489400C6" w14:textId="77777777" w:rsidTr="000459B2">
        <w:trPr>
          <w:trHeight w:val="110"/>
        </w:trPr>
        <w:tc>
          <w:tcPr>
            <w:tcW w:w="3298" w:type="dxa"/>
          </w:tcPr>
          <w:p w14:paraId="1077E698" w14:textId="77777777" w:rsidR="006652A5" w:rsidRPr="00B139BF" w:rsidRDefault="006652A5" w:rsidP="000459B2">
            <w:pPr>
              <w:pStyle w:val="Default"/>
              <w:rPr>
                <w:b/>
                <w:sz w:val="22"/>
                <w:szCs w:val="22"/>
              </w:rPr>
            </w:pPr>
            <w:r w:rsidRPr="00B139BF">
              <w:rPr>
                <w:b/>
                <w:sz w:val="22"/>
                <w:szCs w:val="22"/>
              </w:rPr>
              <w:t>50% available from CENSIS</w:t>
            </w:r>
          </w:p>
        </w:tc>
        <w:tc>
          <w:tcPr>
            <w:tcW w:w="5364" w:type="dxa"/>
            <w:gridSpan w:val="2"/>
          </w:tcPr>
          <w:p w14:paraId="62D60BEA" w14:textId="635893D2" w:rsidR="006652A5" w:rsidRPr="00B139BF" w:rsidRDefault="006652A5" w:rsidP="008449AD">
            <w:pPr>
              <w:pStyle w:val="Default"/>
              <w:rPr>
                <w:b/>
                <w:sz w:val="22"/>
                <w:szCs w:val="22"/>
              </w:rPr>
            </w:pPr>
            <w:r w:rsidRPr="00B139BF">
              <w:rPr>
                <w:b/>
                <w:sz w:val="22"/>
                <w:szCs w:val="22"/>
              </w:rPr>
              <w:t xml:space="preserve">£ </w:t>
            </w:r>
            <w:r w:rsidR="008449AD">
              <w:rPr>
                <w:b/>
                <w:sz w:val="22"/>
                <w:szCs w:val="22"/>
              </w:rPr>
              <w:t>41,150</w:t>
            </w:r>
          </w:p>
        </w:tc>
      </w:tr>
    </w:tbl>
    <w:p w14:paraId="70EE93ED" w14:textId="77777777" w:rsidR="006652A5" w:rsidRDefault="006652A5" w:rsidP="006652A5">
      <w:pPr>
        <w:pStyle w:val="Default"/>
        <w:rPr>
          <w:sz w:val="22"/>
          <w:szCs w:val="22"/>
        </w:rPr>
      </w:pPr>
    </w:p>
    <w:p w14:paraId="0276C1DD" w14:textId="6D6CDEF1" w:rsidR="00F0132A" w:rsidRPr="008449AD" w:rsidRDefault="00F0132A" w:rsidP="008449AD">
      <w:pPr>
        <w:pStyle w:val="Default"/>
        <w:rPr>
          <w:sz w:val="22"/>
          <w:szCs w:val="22"/>
        </w:rPr>
      </w:pPr>
      <w:r w:rsidRPr="008449AD">
        <w:rPr>
          <w:sz w:val="22"/>
          <w:szCs w:val="22"/>
        </w:rPr>
        <w:t xml:space="preserve">The University Partner </w:t>
      </w:r>
      <w:r w:rsidR="008449AD">
        <w:rPr>
          <w:sz w:val="22"/>
          <w:szCs w:val="22"/>
        </w:rPr>
        <w:t xml:space="preserve">shall </w:t>
      </w:r>
      <w:r w:rsidRPr="008449AD">
        <w:rPr>
          <w:sz w:val="22"/>
          <w:szCs w:val="22"/>
        </w:rPr>
        <w:t xml:space="preserve">be responsible for </w:t>
      </w:r>
      <w:r w:rsidR="00E538B0" w:rsidRPr="008449AD">
        <w:rPr>
          <w:sz w:val="22"/>
          <w:szCs w:val="22"/>
        </w:rPr>
        <w:t xml:space="preserve">all of </w:t>
      </w:r>
      <w:r w:rsidRPr="008449AD">
        <w:rPr>
          <w:sz w:val="22"/>
          <w:szCs w:val="22"/>
        </w:rPr>
        <w:t xml:space="preserve">the remaining costs of the studentship and any other remaining costs to the project. This will include consumables, training, travel and any top-up payments to the student stipend. </w:t>
      </w:r>
    </w:p>
    <w:p w14:paraId="226A60EB" w14:textId="77777777" w:rsidR="00E17F4C" w:rsidRDefault="00E17F4C" w:rsidP="000020A0">
      <w:pPr>
        <w:pStyle w:val="Default"/>
        <w:rPr>
          <w:sz w:val="22"/>
          <w:szCs w:val="22"/>
        </w:rPr>
      </w:pPr>
    </w:p>
    <w:p w14:paraId="72B7871F" w14:textId="3814B68E" w:rsidR="00F0132A" w:rsidRDefault="00F0132A" w:rsidP="008449AD">
      <w:pPr>
        <w:pStyle w:val="Default"/>
        <w:rPr>
          <w:sz w:val="22"/>
          <w:szCs w:val="22"/>
        </w:rPr>
      </w:pPr>
      <w:r w:rsidRPr="0019662D">
        <w:rPr>
          <w:sz w:val="22"/>
          <w:szCs w:val="22"/>
        </w:rPr>
        <w:t xml:space="preserve">Projects where the CENSIS contribution requested is less than 50% </w:t>
      </w:r>
      <w:r>
        <w:rPr>
          <w:sz w:val="22"/>
          <w:szCs w:val="22"/>
        </w:rPr>
        <w:t xml:space="preserve">of the </w:t>
      </w:r>
      <w:r w:rsidR="00E538B0">
        <w:rPr>
          <w:sz w:val="22"/>
          <w:szCs w:val="22"/>
        </w:rPr>
        <w:t>cost</w:t>
      </w:r>
      <w:r w:rsidR="008449AD">
        <w:rPr>
          <w:sz w:val="22"/>
          <w:szCs w:val="22"/>
        </w:rPr>
        <w:t xml:space="preserve"> of </w:t>
      </w:r>
      <w:r w:rsidR="00E538B0">
        <w:rPr>
          <w:sz w:val="22"/>
          <w:szCs w:val="22"/>
        </w:rPr>
        <w:t xml:space="preserve">tuition fees and </w:t>
      </w:r>
      <w:r w:rsidR="008449AD">
        <w:rPr>
          <w:sz w:val="22"/>
          <w:szCs w:val="22"/>
        </w:rPr>
        <w:t>stipend</w:t>
      </w:r>
      <w:r w:rsidR="00E538B0">
        <w:rPr>
          <w:sz w:val="22"/>
          <w:szCs w:val="22"/>
        </w:rPr>
        <w:t xml:space="preserve"> </w:t>
      </w:r>
      <w:proofErr w:type="gramStart"/>
      <w:r w:rsidRPr="0019662D">
        <w:rPr>
          <w:sz w:val="22"/>
          <w:szCs w:val="22"/>
        </w:rPr>
        <w:t>may be considered</w:t>
      </w:r>
      <w:proofErr w:type="gramEnd"/>
      <w:r w:rsidRPr="0019662D">
        <w:rPr>
          <w:sz w:val="22"/>
          <w:szCs w:val="22"/>
        </w:rPr>
        <w:t xml:space="preserve"> more favourably than projects of equivalent quality.</w:t>
      </w:r>
    </w:p>
    <w:p w14:paraId="5600B70D" w14:textId="77777777" w:rsidR="00F0132A" w:rsidRDefault="00F0132A" w:rsidP="000020A0">
      <w:pPr>
        <w:pStyle w:val="Default"/>
        <w:rPr>
          <w:sz w:val="22"/>
          <w:szCs w:val="22"/>
        </w:rPr>
      </w:pPr>
    </w:p>
    <w:p w14:paraId="7ECF133A" w14:textId="7DB8052E" w:rsidR="00BB5261" w:rsidRDefault="00F0132A" w:rsidP="000020A0">
      <w:pPr>
        <w:pStyle w:val="Default"/>
        <w:rPr>
          <w:sz w:val="22"/>
          <w:szCs w:val="22"/>
        </w:rPr>
      </w:pPr>
      <w:r>
        <w:rPr>
          <w:sz w:val="22"/>
          <w:szCs w:val="22"/>
        </w:rPr>
        <w:t>S</w:t>
      </w:r>
      <w:r w:rsidR="000020A0">
        <w:rPr>
          <w:sz w:val="22"/>
          <w:szCs w:val="22"/>
        </w:rPr>
        <w:t xml:space="preserve">tudentship monies will be transferred directly to the </w:t>
      </w:r>
      <w:r w:rsidR="00F158DF">
        <w:rPr>
          <w:sz w:val="22"/>
          <w:szCs w:val="22"/>
        </w:rPr>
        <w:t xml:space="preserve">University </w:t>
      </w:r>
      <w:r w:rsidR="000020A0">
        <w:rPr>
          <w:sz w:val="22"/>
          <w:szCs w:val="22"/>
        </w:rPr>
        <w:t>Partn</w:t>
      </w:r>
      <w:r w:rsidR="00BB5261">
        <w:rPr>
          <w:sz w:val="22"/>
          <w:szCs w:val="22"/>
        </w:rPr>
        <w:t xml:space="preserve">er by CENSIS in a single </w:t>
      </w:r>
      <w:r w:rsidR="00F158DF">
        <w:rPr>
          <w:sz w:val="22"/>
          <w:szCs w:val="22"/>
        </w:rPr>
        <w:t xml:space="preserve">payment made </w:t>
      </w:r>
      <w:r w:rsidR="00BB5261">
        <w:rPr>
          <w:sz w:val="22"/>
          <w:szCs w:val="22"/>
        </w:rPr>
        <w:t>annually in arrears</w:t>
      </w:r>
      <w:r w:rsidR="000020A0">
        <w:rPr>
          <w:sz w:val="22"/>
          <w:szCs w:val="22"/>
        </w:rPr>
        <w:t xml:space="preserve">. </w:t>
      </w:r>
    </w:p>
    <w:p w14:paraId="07EA1338" w14:textId="77777777" w:rsidR="00BB5261" w:rsidRDefault="00BB5261" w:rsidP="00BB5261">
      <w:pPr>
        <w:pStyle w:val="Default"/>
        <w:rPr>
          <w:sz w:val="22"/>
          <w:szCs w:val="22"/>
        </w:rPr>
      </w:pPr>
    </w:p>
    <w:p w14:paraId="39EFFAC6" w14:textId="77777777" w:rsidR="00F158DF" w:rsidRDefault="00F158DF" w:rsidP="00F158DF">
      <w:pPr>
        <w:pStyle w:val="Heading2"/>
      </w:pPr>
      <w:r>
        <w:t>4. Recruitment</w:t>
      </w:r>
    </w:p>
    <w:p w14:paraId="783853A8" w14:textId="7CC12B4A" w:rsidR="00BB5261" w:rsidRPr="0036283E" w:rsidRDefault="00E538B0" w:rsidP="00BB5261">
      <w:pPr>
        <w:pStyle w:val="Default"/>
        <w:rPr>
          <w:sz w:val="22"/>
          <w:szCs w:val="22"/>
          <w:lang w:val="en-GB"/>
        </w:rPr>
      </w:pPr>
      <w:r>
        <w:rPr>
          <w:sz w:val="22"/>
          <w:szCs w:val="22"/>
        </w:rPr>
        <w:t>A</w:t>
      </w:r>
      <w:r w:rsidR="00BB5261">
        <w:rPr>
          <w:sz w:val="22"/>
          <w:szCs w:val="22"/>
        </w:rPr>
        <w:t xml:space="preserve">pplicants can be from the UK, EU or International. However, at application stage, fees are assumed to be that of a UK student and any additional fees relating to international recruitment </w:t>
      </w:r>
      <w:r w:rsidR="0036283E">
        <w:rPr>
          <w:sz w:val="22"/>
          <w:szCs w:val="22"/>
        </w:rPr>
        <w:t xml:space="preserve">must be </w:t>
      </w:r>
      <w:r w:rsidR="00BB5261">
        <w:rPr>
          <w:sz w:val="22"/>
          <w:szCs w:val="22"/>
        </w:rPr>
        <w:t xml:space="preserve">met by the </w:t>
      </w:r>
      <w:r w:rsidR="00156FFD">
        <w:rPr>
          <w:sz w:val="22"/>
          <w:szCs w:val="22"/>
        </w:rPr>
        <w:t xml:space="preserve">University </w:t>
      </w:r>
      <w:r w:rsidR="00BB5261">
        <w:rPr>
          <w:sz w:val="22"/>
          <w:szCs w:val="22"/>
        </w:rPr>
        <w:t xml:space="preserve">Partner. </w:t>
      </w:r>
    </w:p>
    <w:p w14:paraId="23EE5AC1" w14:textId="77777777" w:rsidR="00F158DF" w:rsidRDefault="00F158DF" w:rsidP="00F158DF">
      <w:pPr>
        <w:pStyle w:val="Default"/>
        <w:spacing w:after="70"/>
        <w:rPr>
          <w:color w:val="auto"/>
          <w:sz w:val="22"/>
          <w:szCs w:val="22"/>
        </w:rPr>
      </w:pPr>
    </w:p>
    <w:p w14:paraId="0A1C685F" w14:textId="18AF66E7" w:rsidR="00F158DF" w:rsidRDefault="00F158DF" w:rsidP="00F158DF">
      <w:pPr>
        <w:pStyle w:val="Default"/>
        <w:spacing w:after="70"/>
        <w:rPr>
          <w:color w:val="auto"/>
          <w:sz w:val="22"/>
          <w:szCs w:val="22"/>
        </w:rPr>
      </w:pPr>
      <w:r>
        <w:rPr>
          <w:color w:val="auto"/>
          <w:sz w:val="22"/>
          <w:szCs w:val="22"/>
        </w:rPr>
        <w:t xml:space="preserve">The student must be in place no later than </w:t>
      </w:r>
      <w:r w:rsidR="00253B94">
        <w:rPr>
          <w:color w:val="auto"/>
          <w:sz w:val="22"/>
          <w:szCs w:val="22"/>
        </w:rPr>
        <w:t xml:space="preserve">31 December </w:t>
      </w:r>
      <w:r>
        <w:rPr>
          <w:color w:val="auto"/>
          <w:sz w:val="22"/>
          <w:szCs w:val="22"/>
        </w:rPr>
        <w:t>20</w:t>
      </w:r>
      <w:r w:rsidR="00E538B0">
        <w:rPr>
          <w:color w:val="auto"/>
          <w:sz w:val="22"/>
          <w:szCs w:val="22"/>
        </w:rPr>
        <w:t>20</w:t>
      </w:r>
      <w:r>
        <w:rPr>
          <w:color w:val="auto"/>
          <w:sz w:val="22"/>
          <w:szCs w:val="22"/>
        </w:rPr>
        <w:t xml:space="preserve"> otherwise the offer will be </w:t>
      </w:r>
      <w:r w:rsidR="006F1BA5">
        <w:rPr>
          <w:color w:val="auto"/>
          <w:sz w:val="22"/>
          <w:szCs w:val="22"/>
        </w:rPr>
        <w:t>withdrawn,</w:t>
      </w:r>
      <w:r>
        <w:rPr>
          <w:color w:val="auto"/>
          <w:sz w:val="22"/>
          <w:szCs w:val="22"/>
        </w:rPr>
        <w:t xml:space="preserve"> and the studentship will no longer be funded by CENSIS.  </w:t>
      </w:r>
    </w:p>
    <w:p w14:paraId="7EDCB835" w14:textId="77777777" w:rsidR="00BB5261" w:rsidRDefault="00BB5261" w:rsidP="000020A0">
      <w:pPr>
        <w:pStyle w:val="Default"/>
        <w:rPr>
          <w:sz w:val="22"/>
          <w:szCs w:val="22"/>
        </w:rPr>
      </w:pPr>
    </w:p>
    <w:p w14:paraId="668D0943" w14:textId="2453471E" w:rsidR="0036283E" w:rsidRDefault="006663A8" w:rsidP="0035795F">
      <w:pPr>
        <w:pStyle w:val="Heading2"/>
      </w:pPr>
      <w:r>
        <w:t>5</w:t>
      </w:r>
      <w:r w:rsidR="000020A0">
        <w:t xml:space="preserve">. </w:t>
      </w:r>
      <w:r w:rsidR="0036283E">
        <w:t>Interaction with CENSIS</w:t>
      </w:r>
      <w:r w:rsidR="000020A0">
        <w:t xml:space="preserve"> </w:t>
      </w:r>
    </w:p>
    <w:p w14:paraId="771F39FE" w14:textId="77777777" w:rsidR="0025486D" w:rsidRDefault="00F158DF" w:rsidP="008449AD">
      <w:pPr>
        <w:pStyle w:val="Default"/>
        <w:spacing w:after="120"/>
        <w:rPr>
          <w:color w:val="auto"/>
          <w:sz w:val="22"/>
          <w:szCs w:val="22"/>
        </w:rPr>
      </w:pPr>
      <w:r>
        <w:rPr>
          <w:color w:val="auto"/>
          <w:sz w:val="22"/>
          <w:szCs w:val="22"/>
        </w:rPr>
        <w:t>The student shall provide CENSIS with a six</w:t>
      </w:r>
      <w:r w:rsidR="0035795F">
        <w:rPr>
          <w:color w:val="auto"/>
          <w:sz w:val="22"/>
          <w:szCs w:val="22"/>
        </w:rPr>
        <w:t>-</w:t>
      </w:r>
      <w:r>
        <w:rPr>
          <w:color w:val="auto"/>
          <w:sz w:val="22"/>
          <w:szCs w:val="22"/>
        </w:rPr>
        <w:t xml:space="preserve">monthly report </w:t>
      </w:r>
      <w:r w:rsidR="0036283E">
        <w:rPr>
          <w:color w:val="auto"/>
          <w:sz w:val="22"/>
          <w:szCs w:val="22"/>
        </w:rPr>
        <w:t xml:space="preserve">using a template provided by CENSIS to </w:t>
      </w:r>
      <w:r>
        <w:rPr>
          <w:color w:val="auto"/>
          <w:sz w:val="22"/>
          <w:szCs w:val="22"/>
        </w:rPr>
        <w:t>include a summary of progress and achievements relati</w:t>
      </w:r>
      <w:r w:rsidR="0036283E">
        <w:rPr>
          <w:color w:val="auto"/>
          <w:sz w:val="22"/>
          <w:szCs w:val="22"/>
        </w:rPr>
        <w:t>ng</w:t>
      </w:r>
      <w:r>
        <w:rPr>
          <w:color w:val="auto"/>
          <w:sz w:val="22"/>
          <w:szCs w:val="22"/>
        </w:rPr>
        <w:t xml:space="preserve"> to the studentship.</w:t>
      </w:r>
    </w:p>
    <w:p w14:paraId="43FB225C" w14:textId="2C19D4A6" w:rsidR="0035795F" w:rsidRDefault="00F158DF" w:rsidP="009D5D67">
      <w:pPr>
        <w:pStyle w:val="Default"/>
        <w:spacing w:after="120"/>
        <w:rPr>
          <w:color w:val="auto"/>
          <w:sz w:val="22"/>
          <w:szCs w:val="22"/>
        </w:rPr>
      </w:pPr>
      <w:r>
        <w:rPr>
          <w:color w:val="auto"/>
          <w:sz w:val="22"/>
          <w:szCs w:val="22"/>
        </w:rPr>
        <w:lastRenderedPageBreak/>
        <w:t xml:space="preserve"> </w:t>
      </w:r>
      <w:r w:rsidR="008449AD">
        <w:rPr>
          <w:color w:val="auto"/>
          <w:sz w:val="22"/>
          <w:szCs w:val="22"/>
        </w:rPr>
        <w:t>The student shall be required to attend a meeting at the CENSIS office in Glasgow once per year to present their finding</w:t>
      </w:r>
      <w:r w:rsidR="0025486D">
        <w:rPr>
          <w:color w:val="auto"/>
          <w:sz w:val="22"/>
          <w:szCs w:val="22"/>
        </w:rPr>
        <w:t>s</w:t>
      </w:r>
      <w:r w:rsidR="008449AD">
        <w:rPr>
          <w:color w:val="auto"/>
          <w:sz w:val="22"/>
          <w:szCs w:val="22"/>
        </w:rPr>
        <w:t xml:space="preserve"> to CENSIS staff. Representatives from the </w:t>
      </w:r>
      <w:r w:rsidR="009D5D67">
        <w:rPr>
          <w:color w:val="auto"/>
          <w:sz w:val="22"/>
          <w:szCs w:val="22"/>
        </w:rPr>
        <w:t xml:space="preserve">University Partner and the </w:t>
      </w:r>
      <w:r w:rsidR="008449AD">
        <w:rPr>
          <w:color w:val="auto"/>
          <w:sz w:val="22"/>
          <w:szCs w:val="22"/>
        </w:rPr>
        <w:t xml:space="preserve">industry partner </w:t>
      </w:r>
      <w:proofErr w:type="gramStart"/>
      <w:r w:rsidR="008449AD">
        <w:rPr>
          <w:color w:val="auto"/>
          <w:sz w:val="22"/>
          <w:szCs w:val="22"/>
        </w:rPr>
        <w:t>shall also be invited</w:t>
      </w:r>
      <w:proofErr w:type="gramEnd"/>
      <w:r w:rsidR="008449AD">
        <w:rPr>
          <w:color w:val="auto"/>
          <w:sz w:val="22"/>
          <w:szCs w:val="22"/>
        </w:rPr>
        <w:t xml:space="preserve"> to this meeting.  </w:t>
      </w:r>
    </w:p>
    <w:p w14:paraId="7C8B9909" w14:textId="01AFCAB1" w:rsidR="00F158DF" w:rsidRDefault="0036283E" w:rsidP="0035795F">
      <w:pPr>
        <w:pStyle w:val="BodyText"/>
        <w:spacing w:line="240" w:lineRule="auto"/>
      </w:pPr>
      <w:r w:rsidRPr="0036283E">
        <w:t xml:space="preserve">The University Partner </w:t>
      </w:r>
      <w:r>
        <w:t xml:space="preserve">and the </w:t>
      </w:r>
      <w:r w:rsidR="00884864">
        <w:t xml:space="preserve">student </w:t>
      </w:r>
      <w:r w:rsidRPr="0036283E">
        <w:t>shall acknowledge CENSIS as a funder of the project</w:t>
      </w:r>
      <w:r>
        <w:t xml:space="preserve"> </w:t>
      </w:r>
      <w:r w:rsidRPr="0036283E">
        <w:t xml:space="preserve">in all publications and other forms of communication </w:t>
      </w:r>
      <w:r w:rsidR="00156FFD">
        <w:t xml:space="preserve">such as </w:t>
      </w:r>
      <w:r w:rsidR="0035795F">
        <w:t>posters</w:t>
      </w:r>
      <w:r w:rsidR="00884864">
        <w:t xml:space="preserve">, </w:t>
      </w:r>
      <w:r>
        <w:t xml:space="preserve">presentations and </w:t>
      </w:r>
      <w:r w:rsidR="00884864">
        <w:t xml:space="preserve">at </w:t>
      </w:r>
      <w:r w:rsidRPr="0036283E">
        <w:t>conferences</w:t>
      </w:r>
      <w:r w:rsidR="00884864">
        <w:t>.</w:t>
      </w:r>
    </w:p>
    <w:p w14:paraId="6B819CBB" w14:textId="0D007823" w:rsidR="006663A8" w:rsidRDefault="00884864" w:rsidP="006663A8">
      <w:pPr>
        <w:pStyle w:val="BodyText"/>
      </w:pPr>
      <w:r>
        <w:t xml:space="preserve">CENSIS shall invite the student to attend relevant events </w:t>
      </w:r>
      <w:r w:rsidR="00156FFD">
        <w:t xml:space="preserve">and workshops </w:t>
      </w:r>
      <w:r>
        <w:t xml:space="preserve">delivered or organised by CENSIS, including the annual CENSIS conference, the Technology Summit. </w:t>
      </w:r>
    </w:p>
    <w:p w14:paraId="167C95D5" w14:textId="77777777" w:rsidR="00031DD1" w:rsidRDefault="00031DD1" w:rsidP="006663A8">
      <w:pPr>
        <w:pStyle w:val="Heading2"/>
      </w:pPr>
    </w:p>
    <w:p w14:paraId="18A466BC" w14:textId="7BD43184" w:rsidR="00F158DF" w:rsidRDefault="006663A8" w:rsidP="006663A8">
      <w:pPr>
        <w:pStyle w:val="Heading2"/>
      </w:pPr>
      <w:r>
        <w:t>6</w:t>
      </w:r>
      <w:r w:rsidR="00F158DF">
        <w:t xml:space="preserve">. </w:t>
      </w:r>
      <w:r w:rsidR="0036283E">
        <w:t xml:space="preserve">Project </w:t>
      </w:r>
      <w:r>
        <w:t>s</w:t>
      </w:r>
      <w:r w:rsidR="0036283E">
        <w:t>ubmissions</w:t>
      </w:r>
    </w:p>
    <w:p w14:paraId="4C8B7B7E" w14:textId="4E50826B" w:rsidR="00F158DF" w:rsidRDefault="00884864" w:rsidP="0025486D">
      <w:pPr>
        <w:pStyle w:val="BodyText"/>
        <w:rPr>
          <w:szCs w:val="22"/>
        </w:rPr>
      </w:pPr>
      <w:r>
        <w:rPr>
          <w:szCs w:val="22"/>
        </w:rPr>
        <w:t xml:space="preserve">Submissions should be made on </w:t>
      </w:r>
      <w:r w:rsidR="0036283E">
        <w:rPr>
          <w:szCs w:val="22"/>
        </w:rPr>
        <w:t xml:space="preserve">the CENSIS </w:t>
      </w:r>
      <w:r w:rsidR="002E1B2F">
        <w:rPr>
          <w:szCs w:val="22"/>
        </w:rPr>
        <w:t xml:space="preserve">PGR Project Proposal Form </w:t>
      </w:r>
      <w:r w:rsidR="0036283E">
        <w:rPr>
          <w:szCs w:val="22"/>
        </w:rPr>
        <w:t>and return</w:t>
      </w:r>
      <w:r w:rsidR="0035795F">
        <w:rPr>
          <w:szCs w:val="22"/>
        </w:rPr>
        <w:t>ed</w:t>
      </w:r>
      <w:r w:rsidR="0036283E">
        <w:rPr>
          <w:szCs w:val="22"/>
        </w:rPr>
        <w:t xml:space="preserve"> along with </w:t>
      </w:r>
      <w:r w:rsidR="00F158DF">
        <w:rPr>
          <w:szCs w:val="22"/>
        </w:rPr>
        <w:t xml:space="preserve">supporting documentation. </w:t>
      </w:r>
      <w:r w:rsidR="0036283E">
        <w:rPr>
          <w:szCs w:val="22"/>
        </w:rPr>
        <w:t xml:space="preserve">The </w:t>
      </w:r>
      <w:r w:rsidR="00156FFD">
        <w:rPr>
          <w:szCs w:val="22"/>
        </w:rPr>
        <w:t xml:space="preserve">call will open on </w:t>
      </w:r>
      <w:r w:rsidR="00031DD1">
        <w:rPr>
          <w:szCs w:val="22"/>
        </w:rPr>
        <w:t xml:space="preserve">17 June </w:t>
      </w:r>
      <w:r w:rsidR="00156FFD">
        <w:rPr>
          <w:szCs w:val="22"/>
        </w:rPr>
        <w:t>201</w:t>
      </w:r>
      <w:r w:rsidR="0051203C">
        <w:rPr>
          <w:szCs w:val="22"/>
        </w:rPr>
        <w:t>9</w:t>
      </w:r>
      <w:r w:rsidR="00156FFD">
        <w:rPr>
          <w:szCs w:val="22"/>
        </w:rPr>
        <w:t xml:space="preserve"> and the </w:t>
      </w:r>
      <w:r w:rsidR="0036283E">
        <w:rPr>
          <w:szCs w:val="22"/>
        </w:rPr>
        <w:t xml:space="preserve">closing date will be </w:t>
      </w:r>
      <w:r w:rsidR="00031DD1">
        <w:rPr>
          <w:szCs w:val="22"/>
        </w:rPr>
        <w:t xml:space="preserve">20 September </w:t>
      </w:r>
      <w:r w:rsidR="0051203C">
        <w:rPr>
          <w:szCs w:val="22"/>
        </w:rPr>
        <w:t>2019</w:t>
      </w:r>
      <w:r w:rsidR="0025486D">
        <w:rPr>
          <w:szCs w:val="22"/>
        </w:rPr>
        <w:t xml:space="preserve"> at 17:00</w:t>
      </w:r>
      <w:r w:rsidR="0036283E">
        <w:rPr>
          <w:szCs w:val="22"/>
        </w:rPr>
        <w:t>.</w:t>
      </w:r>
      <w:r w:rsidR="0025486D">
        <w:rPr>
          <w:szCs w:val="22"/>
        </w:rPr>
        <w:t xml:space="preserve"> Proposals should be submitted to </w:t>
      </w:r>
      <w:hyperlink r:id="rId8" w:history="1">
        <w:r w:rsidR="0025486D" w:rsidRPr="009E2BD1">
          <w:rPr>
            <w:rStyle w:val="Hyperlink"/>
            <w:szCs w:val="22"/>
          </w:rPr>
          <w:t>sian.williams@censis.org.uk</w:t>
        </w:r>
      </w:hyperlink>
    </w:p>
    <w:p w14:paraId="0E52272D" w14:textId="00B5A393" w:rsidR="00703094" w:rsidRDefault="00703094" w:rsidP="006663A8">
      <w:pPr>
        <w:pStyle w:val="BodyText"/>
        <w:rPr>
          <w:szCs w:val="22"/>
        </w:rPr>
      </w:pPr>
    </w:p>
    <w:p w14:paraId="5350DC2F" w14:textId="66751C8F" w:rsidR="00703094" w:rsidRDefault="006663A8" w:rsidP="006663A8">
      <w:pPr>
        <w:pStyle w:val="Heading2"/>
      </w:pPr>
      <w:r>
        <w:t>7</w:t>
      </w:r>
      <w:r w:rsidR="00703094">
        <w:t xml:space="preserve">. </w:t>
      </w:r>
      <w:r>
        <w:t xml:space="preserve">Maximum number </w:t>
      </w:r>
      <w:r w:rsidR="00703094">
        <w:t xml:space="preserve">of </w:t>
      </w:r>
      <w:r>
        <w:t>p</w:t>
      </w:r>
      <w:r w:rsidR="00703094">
        <w:t xml:space="preserve">roject </w:t>
      </w:r>
      <w:r>
        <w:t>s</w:t>
      </w:r>
      <w:r w:rsidR="00703094">
        <w:t>ubmissions</w:t>
      </w:r>
    </w:p>
    <w:p w14:paraId="011B0424" w14:textId="5478E29C" w:rsidR="00630529" w:rsidRDefault="00703094" w:rsidP="006663A8">
      <w:pPr>
        <w:pStyle w:val="BodyText"/>
        <w:rPr>
          <w:szCs w:val="22"/>
        </w:rPr>
      </w:pPr>
      <w:r>
        <w:rPr>
          <w:szCs w:val="22"/>
        </w:rPr>
        <w:t xml:space="preserve">A maximum number of </w:t>
      </w:r>
      <w:r w:rsidR="00385E35">
        <w:rPr>
          <w:szCs w:val="22"/>
        </w:rPr>
        <w:t xml:space="preserve">three </w:t>
      </w:r>
      <w:r>
        <w:rPr>
          <w:szCs w:val="22"/>
        </w:rPr>
        <w:t>(</w:t>
      </w:r>
      <w:r w:rsidR="00385E35">
        <w:rPr>
          <w:szCs w:val="22"/>
        </w:rPr>
        <w:t>3</w:t>
      </w:r>
      <w:r>
        <w:rPr>
          <w:szCs w:val="22"/>
        </w:rPr>
        <w:t xml:space="preserve">) projects may be submitted in an annual </w:t>
      </w:r>
      <w:r w:rsidR="00323A42">
        <w:rPr>
          <w:szCs w:val="22"/>
        </w:rPr>
        <w:t xml:space="preserve">call </w:t>
      </w:r>
      <w:r>
        <w:rPr>
          <w:szCs w:val="22"/>
        </w:rPr>
        <w:t>by any single EngD Centre</w:t>
      </w:r>
      <w:r w:rsidR="00385E35">
        <w:rPr>
          <w:szCs w:val="22"/>
        </w:rPr>
        <w:t>, University School or Department</w:t>
      </w:r>
      <w:r w:rsidR="00323A42">
        <w:rPr>
          <w:szCs w:val="22"/>
        </w:rPr>
        <w:t xml:space="preserve"> or</w:t>
      </w:r>
      <w:r>
        <w:rPr>
          <w:szCs w:val="22"/>
        </w:rPr>
        <w:t xml:space="preserve"> CDT programme</w:t>
      </w:r>
      <w:r w:rsidR="00323A42">
        <w:rPr>
          <w:szCs w:val="22"/>
        </w:rPr>
        <w:t>.</w:t>
      </w:r>
    </w:p>
    <w:p w14:paraId="72F172F6" w14:textId="2432169B" w:rsidR="00156FFD" w:rsidRDefault="00156FFD">
      <w:pPr>
        <w:spacing w:after="0" w:line="240" w:lineRule="auto"/>
        <w:rPr>
          <w:rFonts w:asciiTheme="majorHAnsi" w:hAnsiTheme="majorHAnsi"/>
          <w:b/>
          <w:color w:val="10B7FF" w:themeColor="text2" w:themeTint="99"/>
          <w:sz w:val="24"/>
        </w:rPr>
      </w:pPr>
    </w:p>
    <w:p w14:paraId="44DA61F5" w14:textId="75600CAA" w:rsidR="00630529" w:rsidRDefault="006663A8" w:rsidP="006A7479">
      <w:pPr>
        <w:pStyle w:val="Heading2"/>
      </w:pPr>
      <w:r>
        <w:t>8</w:t>
      </w:r>
      <w:r w:rsidR="006A7479">
        <w:t xml:space="preserve">. Timings </w:t>
      </w:r>
    </w:p>
    <w:p w14:paraId="6CF32F4F" w14:textId="2469DCD6" w:rsidR="00630529" w:rsidRPr="00630529" w:rsidRDefault="00630529" w:rsidP="0036283E">
      <w:pPr>
        <w:pStyle w:val="Default"/>
        <w:rPr>
          <w:lang w:val="en-GB"/>
        </w:rPr>
      </w:pPr>
    </w:p>
    <w:tbl>
      <w:tblPr>
        <w:tblW w:w="921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48"/>
        <w:gridCol w:w="2247"/>
        <w:gridCol w:w="4819"/>
      </w:tblGrid>
      <w:tr w:rsidR="000122DA" w14:paraId="5CA549FF" w14:textId="77777777" w:rsidTr="006663A8">
        <w:trPr>
          <w:trHeight w:val="110"/>
        </w:trPr>
        <w:tc>
          <w:tcPr>
            <w:tcW w:w="2148" w:type="dxa"/>
          </w:tcPr>
          <w:p w14:paraId="2B47844C" w14:textId="77777777" w:rsidR="000122DA" w:rsidRPr="006A7479" w:rsidRDefault="000122DA">
            <w:pPr>
              <w:pStyle w:val="Default"/>
              <w:rPr>
                <w:b/>
                <w:sz w:val="22"/>
                <w:szCs w:val="22"/>
              </w:rPr>
            </w:pPr>
            <w:r w:rsidRPr="006A7479">
              <w:rPr>
                <w:b/>
                <w:sz w:val="22"/>
                <w:szCs w:val="22"/>
              </w:rPr>
              <w:t xml:space="preserve">Process </w:t>
            </w:r>
          </w:p>
        </w:tc>
        <w:tc>
          <w:tcPr>
            <w:tcW w:w="2247" w:type="dxa"/>
          </w:tcPr>
          <w:p w14:paraId="71AB254F" w14:textId="77777777" w:rsidR="000122DA" w:rsidRPr="006A7479" w:rsidRDefault="000122DA">
            <w:pPr>
              <w:pStyle w:val="Default"/>
              <w:rPr>
                <w:b/>
                <w:sz w:val="22"/>
                <w:szCs w:val="22"/>
              </w:rPr>
            </w:pPr>
            <w:r w:rsidRPr="006A7479">
              <w:rPr>
                <w:b/>
                <w:sz w:val="22"/>
                <w:szCs w:val="22"/>
              </w:rPr>
              <w:t xml:space="preserve">Timing </w:t>
            </w:r>
          </w:p>
        </w:tc>
        <w:tc>
          <w:tcPr>
            <w:tcW w:w="4819" w:type="dxa"/>
          </w:tcPr>
          <w:p w14:paraId="4DC32F66" w14:textId="77777777" w:rsidR="000122DA" w:rsidRPr="006A7479" w:rsidRDefault="000122DA">
            <w:pPr>
              <w:pStyle w:val="Default"/>
              <w:rPr>
                <w:b/>
                <w:sz w:val="22"/>
                <w:szCs w:val="22"/>
              </w:rPr>
            </w:pPr>
            <w:r w:rsidRPr="006A7479">
              <w:rPr>
                <w:b/>
                <w:sz w:val="22"/>
                <w:szCs w:val="22"/>
              </w:rPr>
              <w:t xml:space="preserve">Action </w:t>
            </w:r>
          </w:p>
        </w:tc>
      </w:tr>
      <w:tr w:rsidR="000122DA" w14:paraId="0F9F7A81" w14:textId="77777777" w:rsidTr="006663A8">
        <w:trPr>
          <w:trHeight w:val="427"/>
        </w:trPr>
        <w:tc>
          <w:tcPr>
            <w:tcW w:w="2148" w:type="dxa"/>
          </w:tcPr>
          <w:p w14:paraId="4C14A8CF" w14:textId="77777777" w:rsidR="000122DA" w:rsidRDefault="000122DA">
            <w:pPr>
              <w:pStyle w:val="Default"/>
              <w:rPr>
                <w:sz w:val="22"/>
                <w:szCs w:val="22"/>
              </w:rPr>
            </w:pPr>
            <w:r>
              <w:rPr>
                <w:sz w:val="22"/>
                <w:szCs w:val="22"/>
              </w:rPr>
              <w:t xml:space="preserve">Call opens </w:t>
            </w:r>
          </w:p>
        </w:tc>
        <w:tc>
          <w:tcPr>
            <w:tcW w:w="2247" w:type="dxa"/>
          </w:tcPr>
          <w:p w14:paraId="4F9CD9A0" w14:textId="0B68E26F" w:rsidR="000122DA" w:rsidRDefault="00031DD1">
            <w:pPr>
              <w:pStyle w:val="Default"/>
              <w:rPr>
                <w:sz w:val="22"/>
                <w:szCs w:val="22"/>
              </w:rPr>
            </w:pPr>
            <w:r>
              <w:rPr>
                <w:sz w:val="22"/>
                <w:szCs w:val="22"/>
              </w:rPr>
              <w:t>17 June 2019</w:t>
            </w:r>
            <w:r w:rsidR="000122DA">
              <w:rPr>
                <w:sz w:val="22"/>
                <w:szCs w:val="22"/>
              </w:rPr>
              <w:t xml:space="preserve"> </w:t>
            </w:r>
          </w:p>
        </w:tc>
        <w:tc>
          <w:tcPr>
            <w:tcW w:w="4819" w:type="dxa"/>
          </w:tcPr>
          <w:p w14:paraId="4F55B374" w14:textId="77F8D404" w:rsidR="000122DA" w:rsidRDefault="00156FFD">
            <w:pPr>
              <w:pStyle w:val="Default"/>
              <w:rPr>
                <w:sz w:val="22"/>
                <w:szCs w:val="22"/>
              </w:rPr>
            </w:pPr>
            <w:r>
              <w:rPr>
                <w:sz w:val="22"/>
                <w:szCs w:val="22"/>
              </w:rPr>
              <w:t>Call publicised by CENSIS.</w:t>
            </w:r>
          </w:p>
        </w:tc>
      </w:tr>
      <w:tr w:rsidR="000122DA" w14:paraId="16736BBE" w14:textId="77777777" w:rsidTr="006663A8">
        <w:trPr>
          <w:trHeight w:val="274"/>
        </w:trPr>
        <w:tc>
          <w:tcPr>
            <w:tcW w:w="2148" w:type="dxa"/>
          </w:tcPr>
          <w:p w14:paraId="742B5CCF" w14:textId="77777777" w:rsidR="000122DA" w:rsidRDefault="000122DA">
            <w:pPr>
              <w:pStyle w:val="Default"/>
              <w:rPr>
                <w:sz w:val="22"/>
                <w:szCs w:val="22"/>
              </w:rPr>
            </w:pPr>
            <w:r>
              <w:rPr>
                <w:sz w:val="22"/>
                <w:szCs w:val="22"/>
              </w:rPr>
              <w:t xml:space="preserve">Call closes </w:t>
            </w:r>
          </w:p>
        </w:tc>
        <w:tc>
          <w:tcPr>
            <w:tcW w:w="2247" w:type="dxa"/>
          </w:tcPr>
          <w:p w14:paraId="5E8D5CA6" w14:textId="05769E1C" w:rsidR="000122DA" w:rsidRDefault="00031DD1" w:rsidP="00031DD1">
            <w:pPr>
              <w:pStyle w:val="Default"/>
              <w:rPr>
                <w:sz w:val="22"/>
                <w:szCs w:val="22"/>
              </w:rPr>
            </w:pPr>
            <w:r>
              <w:rPr>
                <w:sz w:val="22"/>
                <w:szCs w:val="22"/>
              </w:rPr>
              <w:t>20 September 2019 (17:00)</w:t>
            </w:r>
            <w:r w:rsidR="000122DA">
              <w:rPr>
                <w:sz w:val="22"/>
                <w:szCs w:val="22"/>
              </w:rPr>
              <w:t xml:space="preserve"> </w:t>
            </w:r>
          </w:p>
        </w:tc>
        <w:tc>
          <w:tcPr>
            <w:tcW w:w="4819" w:type="dxa"/>
          </w:tcPr>
          <w:p w14:paraId="7F6F4FBC" w14:textId="6E2A077B" w:rsidR="000122DA" w:rsidRDefault="000122DA">
            <w:pPr>
              <w:pStyle w:val="Default"/>
              <w:rPr>
                <w:sz w:val="22"/>
                <w:szCs w:val="22"/>
              </w:rPr>
            </w:pPr>
            <w:r>
              <w:rPr>
                <w:sz w:val="22"/>
                <w:szCs w:val="22"/>
              </w:rPr>
              <w:t>Applications must be received by CENSIS</w:t>
            </w:r>
            <w:r w:rsidR="00156FFD">
              <w:rPr>
                <w:sz w:val="22"/>
                <w:szCs w:val="22"/>
              </w:rPr>
              <w:t>.</w:t>
            </w:r>
          </w:p>
          <w:p w14:paraId="70282DDC" w14:textId="14E0642A" w:rsidR="000122DA" w:rsidRDefault="000122DA">
            <w:pPr>
              <w:pStyle w:val="Default"/>
              <w:rPr>
                <w:sz w:val="22"/>
                <w:szCs w:val="22"/>
              </w:rPr>
            </w:pPr>
          </w:p>
        </w:tc>
      </w:tr>
      <w:tr w:rsidR="000122DA" w14:paraId="6C358F6D" w14:textId="77777777" w:rsidTr="006663A8">
        <w:trPr>
          <w:trHeight w:val="272"/>
        </w:trPr>
        <w:tc>
          <w:tcPr>
            <w:tcW w:w="2148" w:type="dxa"/>
          </w:tcPr>
          <w:p w14:paraId="176A46D5" w14:textId="77777777" w:rsidR="000122DA" w:rsidRDefault="000122DA">
            <w:pPr>
              <w:pStyle w:val="Default"/>
              <w:rPr>
                <w:sz w:val="22"/>
                <w:szCs w:val="22"/>
              </w:rPr>
            </w:pPr>
            <w:r>
              <w:rPr>
                <w:sz w:val="22"/>
                <w:szCs w:val="22"/>
              </w:rPr>
              <w:t>Review process begins</w:t>
            </w:r>
          </w:p>
          <w:p w14:paraId="64F90714" w14:textId="69E1D30B" w:rsidR="000122DA" w:rsidRDefault="000122DA">
            <w:pPr>
              <w:pStyle w:val="Default"/>
              <w:rPr>
                <w:sz w:val="22"/>
                <w:szCs w:val="22"/>
              </w:rPr>
            </w:pPr>
          </w:p>
        </w:tc>
        <w:tc>
          <w:tcPr>
            <w:tcW w:w="2247" w:type="dxa"/>
          </w:tcPr>
          <w:p w14:paraId="409166CD" w14:textId="2487A319" w:rsidR="000122DA" w:rsidRDefault="009D5D67">
            <w:pPr>
              <w:pStyle w:val="Default"/>
              <w:rPr>
                <w:sz w:val="22"/>
                <w:szCs w:val="22"/>
              </w:rPr>
            </w:pPr>
            <w:r>
              <w:rPr>
                <w:sz w:val="22"/>
                <w:szCs w:val="22"/>
              </w:rPr>
              <w:t>23-25 September 2019</w:t>
            </w:r>
            <w:bookmarkStart w:id="0" w:name="_GoBack"/>
            <w:bookmarkEnd w:id="0"/>
            <w:r w:rsidR="00385E35">
              <w:rPr>
                <w:sz w:val="22"/>
                <w:szCs w:val="22"/>
              </w:rPr>
              <w:t xml:space="preserve"> </w:t>
            </w:r>
            <w:r w:rsidR="000122DA">
              <w:rPr>
                <w:sz w:val="22"/>
                <w:szCs w:val="22"/>
              </w:rPr>
              <w:t xml:space="preserve"> </w:t>
            </w:r>
          </w:p>
        </w:tc>
        <w:tc>
          <w:tcPr>
            <w:tcW w:w="4819" w:type="dxa"/>
          </w:tcPr>
          <w:p w14:paraId="2521ACD4" w14:textId="709D6BA6" w:rsidR="000122DA" w:rsidRDefault="000122DA">
            <w:pPr>
              <w:pStyle w:val="Default"/>
              <w:rPr>
                <w:sz w:val="22"/>
                <w:szCs w:val="22"/>
              </w:rPr>
            </w:pPr>
            <w:r>
              <w:rPr>
                <w:sz w:val="22"/>
                <w:szCs w:val="22"/>
              </w:rPr>
              <w:t>Applications checked and passed for review</w:t>
            </w:r>
            <w:r w:rsidR="00156FFD">
              <w:rPr>
                <w:sz w:val="22"/>
                <w:szCs w:val="22"/>
              </w:rPr>
              <w:t>.</w:t>
            </w:r>
            <w:r>
              <w:rPr>
                <w:sz w:val="22"/>
                <w:szCs w:val="22"/>
              </w:rPr>
              <w:t xml:space="preserve"> </w:t>
            </w:r>
          </w:p>
        </w:tc>
      </w:tr>
      <w:tr w:rsidR="000122DA" w14:paraId="38B6E225" w14:textId="77777777" w:rsidTr="006663A8">
        <w:trPr>
          <w:trHeight w:val="427"/>
        </w:trPr>
        <w:tc>
          <w:tcPr>
            <w:tcW w:w="2148" w:type="dxa"/>
          </w:tcPr>
          <w:p w14:paraId="5DCC2F06" w14:textId="2A5718B3" w:rsidR="000122DA" w:rsidRDefault="000122DA">
            <w:pPr>
              <w:pStyle w:val="Default"/>
              <w:rPr>
                <w:sz w:val="22"/>
                <w:szCs w:val="22"/>
              </w:rPr>
            </w:pPr>
            <w:r>
              <w:rPr>
                <w:sz w:val="22"/>
                <w:szCs w:val="22"/>
              </w:rPr>
              <w:t xml:space="preserve">Proposals reviewed </w:t>
            </w:r>
          </w:p>
        </w:tc>
        <w:tc>
          <w:tcPr>
            <w:tcW w:w="2247" w:type="dxa"/>
          </w:tcPr>
          <w:p w14:paraId="7D34DEB4" w14:textId="26931FE2" w:rsidR="000122DA" w:rsidRDefault="00031DD1" w:rsidP="00031DD1">
            <w:pPr>
              <w:pStyle w:val="Default"/>
              <w:rPr>
                <w:sz w:val="22"/>
                <w:szCs w:val="22"/>
              </w:rPr>
            </w:pPr>
            <w:r>
              <w:rPr>
                <w:sz w:val="22"/>
                <w:szCs w:val="22"/>
              </w:rPr>
              <w:t xml:space="preserve">October </w:t>
            </w:r>
            <w:r w:rsidR="00A403D1">
              <w:rPr>
                <w:sz w:val="22"/>
                <w:szCs w:val="22"/>
              </w:rPr>
              <w:t>2019</w:t>
            </w:r>
            <w:r w:rsidR="000122DA">
              <w:rPr>
                <w:sz w:val="22"/>
                <w:szCs w:val="22"/>
              </w:rPr>
              <w:t xml:space="preserve"> </w:t>
            </w:r>
          </w:p>
        </w:tc>
        <w:tc>
          <w:tcPr>
            <w:tcW w:w="4819" w:type="dxa"/>
          </w:tcPr>
          <w:p w14:paraId="3C1CC73A" w14:textId="18F9B986" w:rsidR="000122DA" w:rsidRDefault="000122DA">
            <w:pPr>
              <w:pStyle w:val="Default"/>
              <w:rPr>
                <w:sz w:val="22"/>
                <w:szCs w:val="22"/>
              </w:rPr>
            </w:pPr>
            <w:r>
              <w:rPr>
                <w:sz w:val="22"/>
                <w:szCs w:val="22"/>
              </w:rPr>
              <w:t>A</w:t>
            </w:r>
            <w:r w:rsidR="00A403D1">
              <w:rPr>
                <w:sz w:val="22"/>
                <w:szCs w:val="22"/>
              </w:rPr>
              <w:t>ll a</w:t>
            </w:r>
            <w:r>
              <w:rPr>
                <w:sz w:val="22"/>
                <w:szCs w:val="22"/>
              </w:rPr>
              <w:t xml:space="preserve">pplications reviewed by </w:t>
            </w:r>
            <w:r w:rsidR="009C4E4F">
              <w:rPr>
                <w:sz w:val="22"/>
                <w:szCs w:val="22"/>
              </w:rPr>
              <w:t xml:space="preserve">at least </w:t>
            </w:r>
            <w:r>
              <w:rPr>
                <w:sz w:val="22"/>
                <w:szCs w:val="22"/>
              </w:rPr>
              <w:t xml:space="preserve">three </w:t>
            </w:r>
            <w:r w:rsidR="00703094">
              <w:rPr>
                <w:sz w:val="22"/>
                <w:szCs w:val="22"/>
              </w:rPr>
              <w:t xml:space="preserve">assessors. </w:t>
            </w:r>
          </w:p>
          <w:p w14:paraId="7050A450" w14:textId="6D06E219" w:rsidR="000122DA" w:rsidRDefault="000122DA">
            <w:pPr>
              <w:pStyle w:val="Default"/>
              <w:rPr>
                <w:sz w:val="22"/>
                <w:szCs w:val="22"/>
              </w:rPr>
            </w:pPr>
          </w:p>
        </w:tc>
      </w:tr>
      <w:tr w:rsidR="000122DA" w14:paraId="4D387E3F" w14:textId="77777777" w:rsidTr="006663A8">
        <w:trPr>
          <w:trHeight w:val="265"/>
        </w:trPr>
        <w:tc>
          <w:tcPr>
            <w:tcW w:w="2148" w:type="dxa"/>
          </w:tcPr>
          <w:p w14:paraId="5B0E89FE" w14:textId="0A411251" w:rsidR="000122DA" w:rsidRDefault="000122DA">
            <w:pPr>
              <w:pStyle w:val="Default"/>
              <w:rPr>
                <w:sz w:val="22"/>
                <w:szCs w:val="22"/>
              </w:rPr>
            </w:pPr>
            <w:r>
              <w:rPr>
                <w:sz w:val="22"/>
                <w:szCs w:val="22"/>
              </w:rPr>
              <w:t>Projects approved</w:t>
            </w:r>
          </w:p>
        </w:tc>
        <w:tc>
          <w:tcPr>
            <w:tcW w:w="2247" w:type="dxa"/>
          </w:tcPr>
          <w:p w14:paraId="57D0CC55" w14:textId="20ADAB3D" w:rsidR="000122DA" w:rsidRDefault="00031DD1" w:rsidP="00031DD1">
            <w:pPr>
              <w:pStyle w:val="Default"/>
              <w:rPr>
                <w:sz w:val="22"/>
                <w:szCs w:val="22"/>
              </w:rPr>
            </w:pPr>
            <w:r>
              <w:rPr>
                <w:sz w:val="22"/>
                <w:szCs w:val="22"/>
              </w:rPr>
              <w:t>Early – mid November 2019</w:t>
            </w:r>
            <w:r w:rsidR="000122DA">
              <w:rPr>
                <w:sz w:val="22"/>
                <w:szCs w:val="22"/>
              </w:rPr>
              <w:t xml:space="preserve"> </w:t>
            </w:r>
          </w:p>
        </w:tc>
        <w:tc>
          <w:tcPr>
            <w:tcW w:w="4819" w:type="dxa"/>
          </w:tcPr>
          <w:p w14:paraId="7971833F" w14:textId="3597BD8E" w:rsidR="000122DA" w:rsidRDefault="00A403D1">
            <w:pPr>
              <w:pStyle w:val="Default"/>
              <w:rPr>
                <w:sz w:val="22"/>
                <w:szCs w:val="22"/>
              </w:rPr>
            </w:pPr>
            <w:r>
              <w:rPr>
                <w:sz w:val="22"/>
                <w:szCs w:val="22"/>
              </w:rPr>
              <w:t>Assessment panel meets to review applications. Funded</w:t>
            </w:r>
            <w:r w:rsidR="000122DA">
              <w:rPr>
                <w:sz w:val="22"/>
                <w:szCs w:val="22"/>
              </w:rPr>
              <w:t xml:space="preserve"> projects </w:t>
            </w:r>
            <w:r w:rsidR="0035795F">
              <w:rPr>
                <w:sz w:val="22"/>
                <w:szCs w:val="22"/>
              </w:rPr>
              <w:t>approved.</w:t>
            </w:r>
            <w:r w:rsidR="000122DA">
              <w:rPr>
                <w:sz w:val="22"/>
                <w:szCs w:val="22"/>
              </w:rPr>
              <w:t xml:space="preserve"> </w:t>
            </w:r>
          </w:p>
          <w:p w14:paraId="003BCAC6" w14:textId="25E91258" w:rsidR="000122DA" w:rsidRDefault="000122DA">
            <w:pPr>
              <w:pStyle w:val="Default"/>
              <w:rPr>
                <w:sz w:val="22"/>
                <w:szCs w:val="22"/>
              </w:rPr>
            </w:pPr>
          </w:p>
        </w:tc>
      </w:tr>
      <w:tr w:rsidR="000122DA" w14:paraId="0947B1FA" w14:textId="77777777" w:rsidTr="006663A8">
        <w:trPr>
          <w:trHeight w:val="265"/>
        </w:trPr>
        <w:tc>
          <w:tcPr>
            <w:tcW w:w="2148" w:type="dxa"/>
          </w:tcPr>
          <w:p w14:paraId="446403BA" w14:textId="2BA80338" w:rsidR="000122DA" w:rsidRDefault="000122DA">
            <w:pPr>
              <w:pStyle w:val="Default"/>
              <w:rPr>
                <w:sz w:val="22"/>
                <w:szCs w:val="22"/>
              </w:rPr>
            </w:pPr>
            <w:r>
              <w:rPr>
                <w:sz w:val="22"/>
                <w:szCs w:val="22"/>
              </w:rPr>
              <w:t>Applicants notified</w:t>
            </w:r>
          </w:p>
        </w:tc>
        <w:tc>
          <w:tcPr>
            <w:tcW w:w="2247" w:type="dxa"/>
          </w:tcPr>
          <w:p w14:paraId="4BEFD4C1" w14:textId="529EC87A" w:rsidR="000122DA" w:rsidRDefault="00031DD1">
            <w:pPr>
              <w:pStyle w:val="Default"/>
              <w:rPr>
                <w:sz w:val="22"/>
                <w:szCs w:val="22"/>
              </w:rPr>
            </w:pPr>
            <w:r>
              <w:rPr>
                <w:sz w:val="22"/>
                <w:szCs w:val="22"/>
              </w:rPr>
              <w:t>Mid – end November 2019</w:t>
            </w:r>
          </w:p>
        </w:tc>
        <w:tc>
          <w:tcPr>
            <w:tcW w:w="4819" w:type="dxa"/>
          </w:tcPr>
          <w:p w14:paraId="4884159B" w14:textId="680CEDA0" w:rsidR="000122DA" w:rsidRDefault="0035795F">
            <w:pPr>
              <w:pStyle w:val="Default"/>
              <w:rPr>
                <w:sz w:val="22"/>
                <w:szCs w:val="22"/>
              </w:rPr>
            </w:pPr>
            <w:r>
              <w:rPr>
                <w:sz w:val="22"/>
                <w:szCs w:val="22"/>
              </w:rPr>
              <w:t xml:space="preserve">Applicants </w:t>
            </w:r>
            <w:r w:rsidR="000122DA">
              <w:rPr>
                <w:sz w:val="22"/>
                <w:szCs w:val="22"/>
              </w:rPr>
              <w:t>notified of outcome.</w:t>
            </w:r>
          </w:p>
          <w:p w14:paraId="4AC1D651" w14:textId="297D571F" w:rsidR="000122DA" w:rsidRDefault="000122DA">
            <w:pPr>
              <w:pStyle w:val="Default"/>
              <w:rPr>
                <w:sz w:val="22"/>
                <w:szCs w:val="22"/>
              </w:rPr>
            </w:pPr>
          </w:p>
        </w:tc>
      </w:tr>
      <w:tr w:rsidR="000122DA" w14:paraId="70CCFA7E" w14:textId="77777777" w:rsidTr="006663A8">
        <w:trPr>
          <w:trHeight w:val="573"/>
        </w:trPr>
        <w:tc>
          <w:tcPr>
            <w:tcW w:w="2148" w:type="dxa"/>
          </w:tcPr>
          <w:p w14:paraId="1570D7F3" w14:textId="76577CF5" w:rsidR="000122DA" w:rsidRDefault="00156FFD" w:rsidP="00031DD1">
            <w:pPr>
              <w:pStyle w:val="Default"/>
              <w:rPr>
                <w:sz w:val="22"/>
                <w:szCs w:val="22"/>
              </w:rPr>
            </w:pPr>
            <w:r>
              <w:rPr>
                <w:sz w:val="22"/>
                <w:szCs w:val="22"/>
              </w:rPr>
              <w:t xml:space="preserve">Letters of </w:t>
            </w:r>
            <w:r w:rsidR="002E1B2F">
              <w:rPr>
                <w:sz w:val="22"/>
                <w:szCs w:val="22"/>
              </w:rPr>
              <w:t>a</w:t>
            </w:r>
            <w:r>
              <w:rPr>
                <w:sz w:val="22"/>
                <w:szCs w:val="22"/>
              </w:rPr>
              <w:t>ward issued</w:t>
            </w:r>
            <w:r w:rsidR="000122DA">
              <w:rPr>
                <w:sz w:val="22"/>
                <w:szCs w:val="22"/>
              </w:rPr>
              <w:t xml:space="preserve"> </w:t>
            </w:r>
          </w:p>
        </w:tc>
        <w:tc>
          <w:tcPr>
            <w:tcW w:w="2247" w:type="dxa"/>
          </w:tcPr>
          <w:p w14:paraId="25194259" w14:textId="211EACDD" w:rsidR="000122DA" w:rsidRDefault="00031DD1" w:rsidP="00031DD1">
            <w:pPr>
              <w:pStyle w:val="Default"/>
              <w:rPr>
                <w:sz w:val="22"/>
                <w:szCs w:val="22"/>
              </w:rPr>
            </w:pPr>
            <w:r>
              <w:rPr>
                <w:sz w:val="22"/>
                <w:szCs w:val="22"/>
              </w:rPr>
              <w:t>December</w:t>
            </w:r>
            <w:r w:rsidR="000122DA">
              <w:rPr>
                <w:sz w:val="22"/>
                <w:szCs w:val="22"/>
              </w:rPr>
              <w:t xml:space="preserve"> 20</w:t>
            </w:r>
            <w:r>
              <w:rPr>
                <w:sz w:val="22"/>
                <w:szCs w:val="22"/>
              </w:rPr>
              <w:t>19</w:t>
            </w:r>
          </w:p>
        </w:tc>
        <w:tc>
          <w:tcPr>
            <w:tcW w:w="4819" w:type="dxa"/>
          </w:tcPr>
          <w:p w14:paraId="1D05F60C" w14:textId="5ACFD917" w:rsidR="000122DA" w:rsidRDefault="0035795F" w:rsidP="0025486D">
            <w:pPr>
              <w:pStyle w:val="Default"/>
              <w:rPr>
                <w:sz w:val="22"/>
                <w:szCs w:val="22"/>
              </w:rPr>
            </w:pPr>
            <w:r>
              <w:rPr>
                <w:sz w:val="22"/>
                <w:szCs w:val="22"/>
              </w:rPr>
              <w:t>L</w:t>
            </w:r>
            <w:r w:rsidR="000122DA">
              <w:rPr>
                <w:sz w:val="22"/>
                <w:szCs w:val="22"/>
              </w:rPr>
              <w:t xml:space="preserve">etters of award </w:t>
            </w:r>
            <w:r w:rsidR="0025486D">
              <w:rPr>
                <w:sz w:val="22"/>
                <w:szCs w:val="22"/>
              </w:rPr>
              <w:t>signed and returned to CENSIS.</w:t>
            </w:r>
          </w:p>
          <w:p w14:paraId="5513053B" w14:textId="192AE0FD" w:rsidR="000122DA" w:rsidRDefault="000122DA">
            <w:pPr>
              <w:pStyle w:val="Default"/>
              <w:rPr>
                <w:sz w:val="22"/>
                <w:szCs w:val="22"/>
              </w:rPr>
            </w:pPr>
          </w:p>
        </w:tc>
      </w:tr>
      <w:tr w:rsidR="000122DA" w14:paraId="371DF878" w14:textId="77777777" w:rsidTr="006663A8">
        <w:trPr>
          <w:trHeight w:val="263"/>
        </w:trPr>
        <w:tc>
          <w:tcPr>
            <w:tcW w:w="2148" w:type="dxa"/>
          </w:tcPr>
          <w:p w14:paraId="02B2AFB5" w14:textId="77777777" w:rsidR="000122DA" w:rsidRDefault="000122DA">
            <w:pPr>
              <w:pStyle w:val="Default"/>
              <w:rPr>
                <w:sz w:val="22"/>
                <w:szCs w:val="22"/>
              </w:rPr>
            </w:pPr>
            <w:r>
              <w:rPr>
                <w:sz w:val="22"/>
                <w:szCs w:val="22"/>
              </w:rPr>
              <w:t xml:space="preserve">Student recruitment </w:t>
            </w:r>
          </w:p>
        </w:tc>
        <w:tc>
          <w:tcPr>
            <w:tcW w:w="2247" w:type="dxa"/>
          </w:tcPr>
          <w:p w14:paraId="1C0B7704" w14:textId="63CE5BB4" w:rsidR="000122DA" w:rsidRDefault="00031DD1" w:rsidP="00031DD1">
            <w:pPr>
              <w:pStyle w:val="Default"/>
              <w:rPr>
                <w:sz w:val="22"/>
                <w:szCs w:val="22"/>
              </w:rPr>
            </w:pPr>
            <w:r>
              <w:rPr>
                <w:sz w:val="22"/>
                <w:szCs w:val="22"/>
              </w:rPr>
              <w:t xml:space="preserve">January </w:t>
            </w:r>
            <w:r w:rsidR="00156FFD">
              <w:rPr>
                <w:sz w:val="22"/>
                <w:szCs w:val="22"/>
              </w:rPr>
              <w:t>-</w:t>
            </w:r>
            <w:r w:rsidR="000122DA">
              <w:rPr>
                <w:sz w:val="22"/>
                <w:szCs w:val="22"/>
              </w:rPr>
              <w:t xml:space="preserve"> Sept</w:t>
            </w:r>
            <w:r>
              <w:rPr>
                <w:sz w:val="22"/>
                <w:szCs w:val="22"/>
              </w:rPr>
              <w:t>ember</w:t>
            </w:r>
            <w:r w:rsidR="000122DA">
              <w:rPr>
                <w:sz w:val="22"/>
                <w:szCs w:val="22"/>
              </w:rPr>
              <w:t xml:space="preserve"> 20</w:t>
            </w:r>
            <w:r w:rsidR="00A403D1">
              <w:rPr>
                <w:sz w:val="22"/>
                <w:szCs w:val="22"/>
              </w:rPr>
              <w:t>20</w:t>
            </w:r>
          </w:p>
        </w:tc>
        <w:tc>
          <w:tcPr>
            <w:tcW w:w="4819" w:type="dxa"/>
          </w:tcPr>
          <w:p w14:paraId="4CD8A890" w14:textId="68469D9D" w:rsidR="000122DA" w:rsidRDefault="000122DA">
            <w:pPr>
              <w:pStyle w:val="Default"/>
              <w:rPr>
                <w:sz w:val="22"/>
                <w:szCs w:val="22"/>
              </w:rPr>
            </w:pPr>
            <w:r>
              <w:rPr>
                <w:sz w:val="22"/>
                <w:szCs w:val="22"/>
              </w:rPr>
              <w:t xml:space="preserve">University </w:t>
            </w:r>
            <w:r w:rsidR="00F0132A">
              <w:rPr>
                <w:sz w:val="22"/>
                <w:szCs w:val="22"/>
              </w:rPr>
              <w:t>Pa</w:t>
            </w:r>
            <w:r>
              <w:rPr>
                <w:sz w:val="22"/>
                <w:szCs w:val="22"/>
              </w:rPr>
              <w:t xml:space="preserve">rtner to advertise studentship and undertake recruitment procedure. </w:t>
            </w:r>
          </w:p>
          <w:p w14:paraId="7EE19A23" w14:textId="3AFB116F" w:rsidR="000122DA" w:rsidRDefault="000122DA">
            <w:pPr>
              <w:pStyle w:val="Default"/>
              <w:rPr>
                <w:sz w:val="22"/>
                <w:szCs w:val="22"/>
              </w:rPr>
            </w:pPr>
          </w:p>
        </w:tc>
      </w:tr>
      <w:tr w:rsidR="000122DA" w14:paraId="4A2659BD" w14:textId="77777777" w:rsidTr="006663A8">
        <w:trPr>
          <w:trHeight w:val="110"/>
        </w:trPr>
        <w:tc>
          <w:tcPr>
            <w:tcW w:w="2148" w:type="dxa"/>
          </w:tcPr>
          <w:p w14:paraId="13D1F0F5" w14:textId="4A6E86EF" w:rsidR="000122DA" w:rsidRDefault="000122DA">
            <w:pPr>
              <w:pStyle w:val="Default"/>
              <w:rPr>
                <w:sz w:val="22"/>
                <w:szCs w:val="22"/>
              </w:rPr>
            </w:pPr>
            <w:r>
              <w:rPr>
                <w:sz w:val="22"/>
                <w:szCs w:val="22"/>
              </w:rPr>
              <w:t>Project begins</w:t>
            </w:r>
          </w:p>
        </w:tc>
        <w:tc>
          <w:tcPr>
            <w:tcW w:w="2247" w:type="dxa"/>
          </w:tcPr>
          <w:p w14:paraId="7815A6EA" w14:textId="74F30629" w:rsidR="000122DA" w:rsidRDefault="000122DA">
            <w:pPr>
              <w:pStyle w:val="Default"/>
              <w:rPr>
                <w:sz w:val="22"/>
                <w:szCs w:val="22"/>
              </w:rPr>
            </w:pPr>
            <w:r>
              <w:rPr>
                <w:sz w:val="22"/>
                <w:szCs w:val="22"/>
              </w:rPr>
              <w:t>Sept</w:t>
            </w:r>
            <w:r w:rsidR="00031DD1">
              <w:rPr>
                <w:sz w:val="22"/>
                <w:szCs w:val="22"/>
              </w:rPr>
              <w:t>ember</w:t>
            </w:r>
            <w:r w:rsidR="00F0132A">
              <w:rPr>
                <w:sz w:val="22"/>
                <w:szCs w:val="22"/>
              </w:rPr>
              <w:t xml:space="preserve"> – Dec</w:t>
            </w:r>
            <w:r w:rsidR="00031DD1">
              <w:rPr>
                <w:sz w:val="22"/>
                <w:szCs w:val="22"/>
              </w:rPr>
              <w:t>ember</w:t>
            </w:r>
            <w:r w:rsidR="00F0132A">
              <w:rPr>
                <w:sz w:val="22"/>
                <w:szCs w:val="22"/>
              </w:rPr>
              <w:t xml:space="preserve"> 20</w:t>
            </w:r>
            <w:r w:rsidR="00A403D1">
              <w:rPr>
                <w:sz w:val="22"/>
                <w:szCs w:val="22"/>
              </w:rPr>
              <w:t>20</w:t>
            </w:r>
          </w:p>
        </w:tc>
        <w:tc>
          <w:tcPr>
            <w:tcW w:w="4819" w:type="dxa"/>
          </w:tcPr>
          <w:p w14:paraId="7CFAF677" w14:textId="7B7B2D2E" w:rsidR="000122DA" w:rsidRDefault="000122DA" w:rsidP="0025486D">
            <w:pPr>
              <w:pStyle w:val="Default"/>
              <w:spacing w:after="70"/>
              <w:rPr>
                <w:sz w:val="22"/>
                <w:szCs w:val="22"/>
              </w:rPr>
            </w:pPr>
            <w:r>
              <w:rPr>
                <w:sz w:val="22"/>
                <w:szCs w:val="22"/>
              </w:rPr>
              <w:t xml:space="preserve">Student </w:t>
            </w:r>
            <w:r w:rsidR="00A403D1">
              <w:rPr>
                <w:sz w:val="22"/>
                <w:szCs w:val="22"/>
              </w:rPr>
              <w:t xml:space="preserve">must be </w:t>
            </w:r>
            <w:r>
              <w:rPr>
                <w:sz w:val="22"/>
                <w:szCs w:val="22"/>
              </w:rPr>
              <w:t>named and in place by</w:t>
            </w:r>
            <w:r w:rsidR="00D80419">
              <w:rPr>
                <w:sz w:val="22"/>
                <w:szCs w:val="22"/>
              </w:rPr>
              <w:t xml:space="preserve"> 31 December </w:t>
            </w:r>
            <w:r w:rsidR="00031DD1">
              <w:rPr>
                <w:sz w:val="22"/>
                <w:szCs w:val="22"/>
              </w:rPr>
              <w:t>2020</w:t>
            </w:r>
            <w:r w:rsidR="0025486D">
              <w:rPr>
                <w:sz w:val="22"/>
                <w:szCs w:val="22"/>
              </w:rPr>
              <w:t xml:space="preserve">, </w:t>
            </w:r>
            <w:r w:rsidR="0025486D">
              <w:rPr>
                <w:color w:val="auto"/>
                <w:sz w:val="22"/>
                <w:szCs w:val="22"/>
              </w:rPr>
              <w:t xml:space="preserve">otherwise the offer will be withdrawn, and the studentship will no longer be funded by CENSIS.  </w:t>
            </w:r>
          </w:p>
          <w:p w14:paraId="71B15CE2" w14:textId="03BCCC6C" w:rsidR="002E1B2F" w:rsidRDefault="002E1B2F" w:rsidP="0035795F">
            <w:pPr>
              <w:pStyle w:val="Default"/>
              <w:rPr>
                <w:sz w:val="22"/>
                <w:szCs w:val="22"/>
              </w:rPr>
            </w:pPr>
          </w:p>
        </w:tc>
      </w:tr>
    </w:tbl>
    <w:p w14:paraId="4132AD75" w14:textId="77777777" w:rsidR="000122DA" w:rsidRDefault="000122DA" w:rsidP="000122DA">
      <w:pPr>
        <w:pStyle w:val="Default"/>
      </w:pPr>
    </w:p>
    <w:p w14:paraId="50354814" w14:textId="13B92CB4" w:rsidR="000122DA" w:rsidRDefault="006663A8" w:rsidP="000F38FD">
      <w:pPr>
        <w:pStyle w:val="Heading2"/>
      </w:pPr>
      <w:r>
        <w:lastRenderedPageBreak/>
        <w:t>9</w:t>
      </w:r>
      <w:r w:rsidR="000122DA">
        <w:t xml:space="preserve">. Project </w:t>
      </w:r>
      <w:r>
        <w:t>s</w:t>
      </w:r>
      <w:r w:rsidR="000122DA">
        <w:t xml:space="preserve">election </w:t>
      </w:r>
      <w:r>
        <w:t>c</w:t>
      </w:r>
      <w:r w:rsidR="000122DA">
        <w:t xml:space="preserve">riteria </w:t>
      </w:r>
    </w:p>
    <w:p w14:paraId="04A09326" w14:textId="08FA4983" w:rsidR="000F38FD" w:rsidRDefault="000F38FD" w:rsidP="000122DA">
      <w:pPr>
        <w:pStyle w:val="Default"/>
        <w:rPr>
          <w:rFonts w:asciiTheme="minorHAnsi" w:hAnsiTheme="minorHAnsi"/>
          <w:sz w:val="22"/>
          <w:szCs w:val="22"/>
        </w:rPr>
      </w:pPr>
      <w:r>
        <w:rPr>
          <w:rFonts w:asciiTheme="minorHAnsi" w:hAnsiTheme="minorHAnsi"/>
          <w:sz w:val="22"/>
          <w:szCs w:val="22"/>
        </w:rPr>
        <w:t>Decisions</w:t>
      </w:r>
      <w:r w:rsidRPr="00881BE9">
        <w:rPr>
          <w:rFonts w:asciiTheme="minorHAnsi" w:hAnsiTheme="minorHAnsi"/>
          <w:sz w:val="22"/>
          <w:szCs w:val="22"/>
        </w:rPr>
        <w:t xml:space="preserve"> are based </w:t>
      </w:r>
      <w:r w:rsidR="0035795F">
        <w:rPr>
          <w:rFonts w:asciiTheme="minorHAnsi" w:hAnsiTheme="minorHAnsi"/>
          <w:sz w:val="22"/>
          <w:szCs w:val="22"/>
        </w:rPr>
        <w:t xml:space="preserve">on the </w:t>
      </w:r>
      <w:r>
        <w:rPr>
          <w:rFonts w:asciiTheme="minorHAnsi" w:hAnsiTheme="minorHAnsi"/>
          <w:sz w:val="22"/>
          <w:szCs w:val="22"/>
        </w:rPr>
        <w:t xml:space="preserve">technical merit </w:t>
      </w:r>
      <w:r w:rsidR="0035795F">
        <w:rPr>
          <w:rFonts w:asciiTheme="minorHAnsi" w:hAnsiTheme="minorHAnsi"/>
          <w:sz w:val="22"/>
          <w:szCs w:val="22"/>
        </w:rPr>
        <w:t xml:space="preserve">of the proposal, </w:t>
      </w:r>
      <w:r>
        <w:rPr>
          <w:rFonts w:asciiTheme="minorHAnsi" w:hAnsiTheme="minorHAnsi"/>
          <w:sz w:val="22"/>
          <w:szCs w:val="22"/>
        </w:rPr>
        <w:t xml:space="preserve">the </w:t>
      </w:r>
      <w:r w:rsidRPr="00881BE9">
        <w:rPr>
          <w:rFonts w:asciiTheme="minorHAnsi" w:hAnsiTheme="minorHAnsi"/>
          <w:sz w:val="22"/>
          <w:szCs w:val="22"/>
        </w:rPr>
        <w:t>relevance of the project to the strategic priorities of CENSIS</w:t>
      </w:r>
      <w:r w:rsidR="0035795F">
        <w:rPr>
          <w:rFonts w:asciiTheme="minorHAnsi" w:hAnsiTheme="minorHAnsi"/>
          <w:sz w:val="22"/>
          <w:szCs w:val="22"/>
        </w:rPr>
        <w:t>,</w:t>
      </w:r>
      <w:r>
        <w:rPr>
          <w:rFonts w:asciiTheme="minorHAnsi" w:hAnsiTheme="minorHAnsi"/>
          <w:sz w:val="22"/>
          <w:szCs w:val="22"/>
        </w:rPr>
        <w:t xml:space="preserve"> and the alignment of the proposal with industry challenges.   </w:t>
      </w:r>
    </w:p>
    <w:p w14:paraId="0816AF8E" w14:textId="77777777" w:rsidR="000F38FD" w:rsidRDefault="000F38FD" w:rsidP="000122DA">
      <w:pPr>
        <w:pStyle w:val="Default"/>
        <w:rPr>
          <w:rFonts w:asciiTheme="minorHAnsi" w:hAnsiTheme="minorHAnsi"/>
          <w:sz w:val="22"/>
          <w:szCs w:val="22"/>
        </w:rPr>
      </w:pPr>
    </w:p>
    <w:p w14:paraId="00384833" w14:textId="5BC8313D" w:rsidR="000F38FD" w:rsidRDefault="000F38FD" w:rsidP="000122DA">
      <w:pPr>
        <w:pStyle w:val="Default"/>
        <w:rPr>
          <w:sz w:val="22"/>
          <w:szCs w:val="22"/>
        </w:rPr>
      </w:pPr>
      <w:r>
        <w:rPr>
          <w:sz w:val="22"/>
          <w:szCs w:val="22"/>
        </w:rPr>
        <w:t xml:space="preserve">Proposals will be reviewed by </w:t>
      </w:r>
      <w:r w:rsidR="00ED459A">
        <w:rPr>
          <w:sz w:val="22"/>
          <w:szCs w:val="22"/>
        </w:rPr>
        <w:t xml:space="preserve">at least </w:t>
      </w:r>
      <w:r>
        <w:rPr>
          <w:sz w:val="22"/>
          <w:szCs w:val="22"/>
        </w:rPr>
        <w:t xml:space="preserve">three assessors from CENSIS </w:t>
      </w:r>
      <w:r w:rsidR="000122DA">
        <w:rPr>
          <w:sz w:val="22"/>
          <w:szCs w:val="22"/>
        </w:rPr>
        <w:t>using a point system</w:t>
      </w:r>
      <w:r w:rsidR="00ED459A">
        <w:rPr>
          <w:sz w:val="22"/>
          <w:szCs w:val="22"/>
        </w:rPr>
        <w:t>, selected from the following pool</w:t>
      </w:r>
      <w:r w:rsidR="00703094">
        <w:rPr>
          <w:sz w:val="22"/>
          <w:szCs w:val="22"/>
        </w:rPr>
        <w:t>:</w:t>
      </w:r>
    </w:p>
    <w:p w14:paraId="3202FAA4" w14:textId="287ED07A" w:rsidR="00ED459A" w:rsidRDefault="00ED459A" w:rsidP="00703094">
      <w:pPr>
        <w:pStyle w:val="Default"/>
        <w:numPr>
          <w:ilvl w:val="0"/>
          <w:numId w:val="23"/>
        </w:numPr>
        <w:rPr>
          <w:sz w:val="22"/>
          <w:szCs w:val="22"/>
        </w:rPr>
      </w:pPr>
      <w:r>
        <w:rPr>
          <w:sz w:val="22"/>
          <w:szCs w:val="22"/>
        </w:rPr>
        <w:t>CENSIS Academic Lead/PI or a nominee with specific expertise in the subject areas</w:t>
      </w:r>
    </w:p>
    <w:p w14:paraId="65377FFC" w14:textId="4647227D" w:rsidR="00703094" w:rsidRDefault="00703094" w:rsidP="00703094">
      <w:pPr>
        <w:pStyle w:val="Default"/>
        <w:numPr>
          <w:ilvl w:val="0"/>
          <w:numId w:val="23"/>
        </w:numPr>
        <w:rPr>
          <w:sz w:val="22"/>
          <w:szCs w:val="22"/>
        </w:rPr>
      </w:pPr>
      <w:r>
        <w:rPr>
          <w:sz w:val="22"/>
          <w:szCs w:val="22"/>
        </w:rPr>
        <w:t>CENSIS CEO</w:t>
      </w:r>
    </w:p>
    <w:p w14:paraId="1D35E4E1" w14:textId="5F84DD08" w:rsidR="00703094" w:rsidRDefault="00703094" w:rsidP="00703094">
      <w:pPr>
        <w:pStyle w:val="Default"/>
        <w:numPr>
          <w:ilvl w:val="0"/>
          <w:numId w:val="23"/>
        </w:numPr>
        <w:rPr>
          <w:sz w:val="22"/>
          <w:szCs w:val="22"/>
        </w:rPr>
      </w:pPr>
      <w:r>
        <w:rPr>
          <w:sz w:val="22"/>
          <w:szCs w:val="22"/>
        </w:rPr>
        <w:t>CENSIS Technical Director, or a member of the CENSIS Engineering Team as appointed by the Technical Director</w:t>
      </w:r>
    </w:p>
    <w:p w14:paraId="379A48A8" w14:textId="1CB0E759" w:rsidR="00703094" w:rsidRDefault="00703094" w:rsidP="00703094">
      <w:pPr>
        <w:pStyle w:val="Default"/>
        <w:numPr>
          <w:ilvl w:val="0"/>
          <w:numId w:val="23"/>
        </w:numPr>
        <w:rPr>
          <w:sz w:val="22"/>
          <w:szCs w:val="22"/>
        </w:rPr>
      </w:pPr>
      <w:r>
        <w:rPr>
          <w:sz w:val="22"/>
          <w:szCs w:val="22"/>
        </w:rPr>
        <w:t>CENSIS Business Development Director, or a member of the CENSIS Business Development Team as appointed by the Business Development Director</w:t>
      </w:r>
    </w:p>
    <w:p w14:paraId="2F68DEC9" w14:textId="77777777" w:rsidR="00703094" w:rsidRDefault="00703094" w:rsidP="000122DA">
      <w:pPr>
        <w:pStyle w:val="Default"/>
        <w:rPr>
          <w:sz w:val="22"/>
          <w:szCs w:val="22"/>
        </w:rPr>
      </w:pPr>
    </w:p>
    <w:p w14:paraId="271B1AA8" w14:textId="471C8968" w:rsidR="000122DA" w:rsidRDefault="000122DA" w:rsidP="000122DA">
      <w:pPr>
        <w:pStyle w:val="Default"/>
        <w:rPr>
          <w:sz w:val="22"/>
          <w:szCs w:val="22"/>
        </w:rPr>
      </w:pPr>
      <w:r w:rsidRPr="009C4E4F">
        <w:rPr>
          <w:sz w:val="22"/>
          <w:szCs w:val="22"/>
        </w:rPr>
        <w:t xml:space="preserve">The </w:t>
      </w:r>
      <w:r w:rsidR="000F38FD" w:rsidRPr="009C4E4F">
        <w:rPr>
          <w:sz w:val="22"/>
          <w:szCs w:val="22"/>
        </w:rPr>
        <w:t xml:space="preserve">assessors </w:t>
      </w:r>
      <w:r w:rsidRPr="009C4E4F">
        <w:rPr>
          <w:sz w:val="22"/>
          <w:szCs w:val="22"/>
        </w:rPr>
        <w:t>will meet to set a threshold</w:t>
      </w:r>
      <w:r w:rsidR="00156FFD" w:rsidRPr="009C4E4F">
        <w:rPr>
          <w:sz w:val="22"/>
          <w:szCs w:val="22"/>
        </w:rPr>
        <w:t xml:space="preserve">. Projects </w:t>
      </w:r>
      <w:r w:rsidRPr="009C4E4F">
        <w:rPr>
          <w:sz w:val="22"/>
          <w:szCs w:val="22"/>
        </w:rPr>
        <w:t>scoring above the threshold will be eligible for funding. Funding will be awarded to projects scoring above the threshold and in descending order from the highest score until studentships are filled.</w:t>
      </w:r>
      <w:r>
        <w:rPr>
          <w:sz w:val="22"/>
          <w:szCs w:val="22"/>
        </w:rPr>
        <w:t xml:space="preserve"> </w:t>
      </w:r>
    </w:p>
    <w:p w14:paraId="7381A248" w14:textId="77777777" w:rsidR="000F38FD" w:rsidRDefault="000F38FD" w:rsidP="000122DA">
      <w:pPr>
        <w:pStyle w:val="Default"/>
        <w:rPr>
          <w:sz w:val="22"/>
          <w:szCs w:val="22"/>
        </w:rPr>
      </w:pPr>
    </w:p>
    <w:p w14:paraId="55DA6E61" w14:textId="25FF2BAD" w:rsidR="000122DA" w:rsidRDefault="0085462D" w:rsidP="006663A8">
      <w:pPr>
        <w:pStyle w:val="Default"/>
        <w:snapToGrid w:val="0"/>
        <w:rPr>
          <w:sz w:val="22"/>
          <w:szCs w:val="22"/>
        </w:rPr>
      </w:pPr>
      <w:r>
        <w:rPr>
          <w:sz w:val="22"/>
          <w:szCs w:val="22"/>
        </w:rPr>
        <w:t>Weighting for assessment:</w:t>
      </w:r>
    </w:p>
    <w:p w14:paraId="5802ABF8" w14:textId="798C2328" w:rsidR="00434901" w:rsidRDefault="00434901" w:rsidP="006663A8">
      <w:pPr>
        <w:pStyle w:val="Default"/>
        <w:snapToGrid w:val="0"/>
        <w:rPr>
          <w:sz w:val="22"/>
          <w:szCs w:val="22"/>
        </w:rPr>
      </w:pPr>
    </w:p>
    <w:tbl>
      <w:tblPr>
        <w:tblStyle w:val="TableGrid"/>
        <w:tblW w:w="0" w:type="auto"/>
        <w:tblLook w:val="04A0" w:firstRow="1" w:lastRow="0" w:firstColumn="1" w:lastColumn="0" w:noHBand="0" w:noVBand="1"/>
      </w:tblPr>
      <w:tblGrid>
        <w:gridCol w:w="2405"/>
        <w:gridCol w:w="1134"/>
        <w:gridCol w:w="5805"/>
      </w:tblGrid>
      <w:tr w:rsidR="00434901" w14:paraId="5375AA36" w14:textId="77777777" w:rsidTr="006663A8">
        <w:tc>
          <w:tcPr>
            <w:tcW w:w="2405" w:type="dxa"/>
          </w:tcPr>
          <w:p w14:paraId="17B0E931" w14:textId="0EE01BF3" w:rsidR="00434901" w:rsidRDefault="00434901" w:rsidP="00434901">
            <w:pPr>
              <w:pStyle w:val="Default"/>
              <w:snapToGrid w:val="0"/>
              <w:rPr>
                <w:sz w:val="22"/>
                <w:szCs w:val="22"/>
              </w:rPr>
            </w:pPr>
            <w:r w:rsidRPr="00D33C1D">
              <w:rPr>
                <w:sz w:val="22"/>
                <w:szCs w:val="22"/>
              </w:rPr>
              <w:t>Technical feasibility</w:t>
            </w:r>
            <w:r w:rsidR="00ED459A">
              <w:rPr>
                <w:sz w:val="22"/>
                <w:szCs w:val="22"/>
              </w:rPr>
              <w:t xml:space="preserve"> and ambition</w:t>
            </w:r>
          </w:p>
        </w:tc>
        <w:tc>
          <w:tcPr>
            <w:tcW w:w="1134" w:type="dxa"/>
          </w:tcPr>
          <w:p w14:paraId="78EEB991" w14:textId="531083B2" w:rsidR="00434901" w:rsidRDefault="00031DD1" w:rsidP="00434901">
            <w:pPr>
              <w:pStyle w:val="Default"/>
              <w:snapToGrid w:val="0"/>
              <w:rPr>
                <w:sz w:val="22"/>
                <w:szCs w:val="22"/>
              </w:rPr>
            </w:pPr>
            <w:r>
              <w:rPr>
                <w:sz w:val="22"/>
                <w:szCs w:val="22"/>
              </w:rPr>
              <w:t>35 points</w:t>
            </w:r>
          </w:p>
        </w:tc>
        <w:tc>
          <w:tcPr>
            <w:tcW w:w="5805" w:type="dxa"/>
          </w:tcPr>
          <w:p w14:paraId="022DDA22" w14:textId="77777777" w:rsidR="00434901" w:rsidRDefault="00434901" w:rsidP="00434901">
            <w:pPr>
              <w:pStyle w:val="Default"/>
              <w:snapToGrid w:val="0"/>
              <w:rPr>
                <w:sz w:val="22"/>
                <w:szCs w:val="22"/>
              </w:rPr>
            </w:pPr>
            <w:r>
              <w:rPr>
                <w:sz w:val="22"/>
                <w:szCs w:val="22"/>
              </w:rPr>
              <w:t>D</w:t>
            </w:r>
            <w:r w:rsidRPr="006B061B">
              <w:rPr>
                <w:sz w:val="22"/>
                <w:szCs w:val="22"/>
              </w:rPr>
              <w:t>emonstrate a good likelihood of technical success and include details of methods used to support the work undertaken.</w:t>
            </w:r>
            <w:r w:rsidR="00ED459A">
              <w:rPr>
                <w:sz w:val="22"/>
                <w:szCs w:val="22"/>
              </w:rPr>
              <w:t xml:space="preserve"> Demonstrate the project is novel.</w:t>
            </w:r>
          </w:p>
          <w:p w14:paraId="7951D56D" w14:textId="41DACE6C" w:rsidR="006F1BA5" w:rsidRDefault="006F1BA5" w:rsidP="00434901">
            <w:pPr>
              <w:pStyle w:val="Default"/>
              <w:snapToGrid w:val="0"/>
              <w:rPr>
                <w:sz w:val="22"/>
                <w:szCs w:val="22"/>
              </w:rPr>
            </w:pPr>
          </w:p>
        </w:tc>
      </w:tr>
      <w:tr w:rsidR="00434901" w14:paraId="41DA0146" w14:textId="77777777" w:rsidTr="006663A8">
        <w:tc>
          <w:tcPr>
            <w:tcW w:w="2405" w:type="dxa"/>
          </w:tcPr>
          <w:p w14:paraId="640FBDF2" w14:textId="53A22297" w:rsidR="00434901" w:rsidRDefault="00434901" w:rsidP="00434901">
            <w:pPr>
              <w:pStyle w:val="Default"/>
              <w:snapToGrid w:val="0"/>
              <w:rPr>
                <w:sz w:val="22"/>
                <w:szCs w:val="22"/>
              </w:rPr>
            </w:pPr>
            <w:r w:rsidRPr="00844439">
              <w:rPr>
                <w:sz w:val="22"/>
                <w:szCs w:val="22"/>
              </w:rPr>
              <w:t>Industrial relevance, ambition and vision</w:t>
            </w:r>
          </w:p>
        </w:tc>
        <w:tc>
          <w:tcPr>
            <w:tcW w:w="1134" w:type="dxa"/>
          </w:tcPr>
          <w:p w14:paraId="4AF6CF12" w14:textId="317264EF" w:rsidR="00434901" w:rsidRDefault="00031DD1" w:rsidP="00031DD1">
            <w:pPr>
              <w:pStyle w:val="Default"/>
              <w:snapToGrid w:val="0"/>
              <w:rPr>
                <w:sz w:val="22"/>
                <w:szCs w:val="22"/>
              </w:rPr>
            </w:pPr>
            <w:r>
              <w:rPr>
                <w:sz w:val="22"/>
                <w:szCs w:val="22"/>
              </w:rPr>
              <w:t>35</w:t>
            </w:r>
            <w:r w:rsidR="00434901" w:rsidRPr="0057526E">
              <w:rPr>
                <w:sz w:val="22"/>
                <w:szCs w:val="22"/>
              </w:rPr>
              <w:t xml:space="preserve"> points</w:t>
            </w:r>
          </w:p>
        </w:tc>
        <w:tc>
          <w:tcPr>
            <w:tcW w:w="5805" w:type="dxa"/>
          </w:tcPr>
          <w:p w14:paraId="498F6D03" w14:textId="2FACE948" w:rsidR="00434901" w:rsidRDefault="00434901" w:rsidP="00031DD1">
            <w:pPr>
              <w:pStyle w:val="Default"/>
              <w:snapToGrid w:val="0"/>
              <w:rPr>
                <w:sz w:val="22"/>
                <w:szCs w:val="22"/>
              </w:rPr>
            </w:pPr>
            <w:r>
              <w:rPr>
                <w:sz w:val="22"/>
                <w:szCs w:val="22"/>
              </w:rPr>
              <w:t xml:space="preserve">Provide </w:t>
            </w:r>
            <w:r w:rsidRPr="00325449">
              <w:rPr>
                <w:sz w:val="22"/>
                <w:szCs w:val="22"/>
              </w:rPr>
              <w:t xml:space="preserve">evidence of industrial relevance and include information on </w:t>
            </w:r>
            <w:r w:rsidR="00215F98">
              <w:rPr>
                <w:sz w:val="22"/>
                <w:szCs w:val="22"/>
              </w:rPr>
              <w:t xml:space="preserve">research impacts and </w:t>
            </w:r>
            <w:r w:rsidRPr="00325449">
              <w:rPr>
                <w:sz w:val="22"/>
                <w:szCs w:val="22"/>
              </w:rPr>
              <w:t>potential routes to market</w:t>
            </w:r>
            <w:r w:rsidR="00215F98">
              <w:rPr>
                <w:sz w:val="22"/>
                <w:szCs w:val="22"/>
              </w:rPr>
              <w:t>.</w:t>
            </w:r>
          </w:p>
          <w:p w14:paraId="7972BD6D" w14:textId="3415F61C" w:rsidR="006F1BA5" w:rsidRDefault="006F1BA5" w:rsidP="00434901">
            <w:pPr>
              <w:pStyle w:val="Default"/>
              <w:snapToGrid w:val="0"/>
              <w:rPr>
                <w:sz w:val="22"/>
                <w:szCs w:val="22"/>
              </w:rPr>
            </w:pPr>
          </w:p>
        </w:tc>
      </w:tr>
      <w:tr w:rsidR="00434901" w14:paraId="6BAD923C" w14:textId="77777777" w:rsidTr="006663A8">
        <w:tc>
          <w:tcPr>
            <w:tcW w:w="2405" w:type="dxa"/>
          </w:tcPr>
          <w:p w14:paraId="636FABE0" w14:textId="5F7F98D4" w:rsidR="00434901" w:rsidRDefault="00215F98" w:rsidP="00434901">
            <w:pPr>
              <w:pStyle w:val="Default"/>
              <w:snapToGrid w:val="0"/>
              <w:rPr>
                <w:sz w:val="22"/>
                <w:szCs w:val="22"/>
              </w:rPr>
            </w:pPr>
            <w:r>
              <w:rPr>
                <w:sz w:val="22"/>
                <w:szCs w:val="22"/>
              </w:rPr>
              <w:t>Industry l</w:t>
            </w:r>
            <w:r w:rsidR="00434901">
              <w:rPr>
                <w:sz w:val="22"/>
                <w:szCs w:val="22"/>
              </w:rPr>
              <w:t>etter of s</w:t>
            </w:r>
            <w:r w:rsidR="00434901" w:rsidRPr="00EA1B14">
              <w:rPr>
                <w:sz w:val="22"/>
                <w:szCs w:val="22"/>
              </w:rPr>
              <w:t>upport</w:t>
            </w:r>
            <w:r w:rsidR="00031DD1">
              <w:rPr>
                <w:sz w:val="22"/>
                <w:szCs w:val="22"/>
              </w:rPr>
              <w:t xml:space="preserve"> and engagement</w:t>
            </w:r>
          </w:p>
        </w:tc>
        <w:tc>
          <w:tcPr>
            <w:tcW w:w="1134" w:type="dxa"/>
          </w:tcPr>
          <w:p w14:paraId="4E219B39" w14:textId="7CB54F34" w:rsidR="00434901" w:rsidRDefault="00031DD1" w:rsidP="00031DD1">
            <w:pPr>
              <w:pStyle w:val="Default"/>
              <w:snapToGrid w:val="0"/>
              <w:rPr>
                <w:sz w:val="22"/>
                <w:szCs w:val="22"/>
              </w:rPr>
            </w:pPr>
            <w:r>
              <w:rPr>
                <w:sz w:val="22"/>
                <w:szCs w:val="22"/>
              </w:rPr>
              <w:t>3</w:t>
            </w:r>
            <w:r w:rsidR="00434901">
              <w:rPr>
                <w:sz w:val="22"/>
                <w:szCs w:val="22"/>
              </w:rPr>
              <w:t>0 points</w:t>
            </w:r>
          </w:p>
        </w:tc>
        <w:tc>
          <w:tcPr>
            <w:tcW w:w="5805" w:type="dxa"/>
          </w:tcPr>
          <w:p w14:paraId="5E630427" w14:textId="420CDCB7" w:rsidR="00434901" w:rsidRDefault="006F1BA5" w:rsidP="00434901">
            <w:pPr>
              <w:pStyle w:val="Default"/>
              <w:snapToGrid w:val="0"/>
              <w:rPr>
                <w:rFonts w:cstheme="minorHAnsi"/>
                <w:sz w:val="22"/>
                <w:szCs w:val="22"/>
              </w:rPr>
            </w:pPr>
            <w:r>
              <w:rPr>
                <w:rFonts w:cstheme="minorHAnsi"/>
                <w:sz w:val="22"/>
                <w:szCs w:val="22"/>
              </w:rPr>
              <w:t>A letter of support should come fr</w:t>
            </w:r>
            <w:r w:rsidR="00215F98">
              <w:rPr>
                <w:rFonts w:cstheme="minorHAnsi"/>
                <w:sz w:val="22"/>
                <w:szCs w:val="22"/>
              </w:rPr>
              <w:t xml:space="preserve">om a </w:t>
            </w:r>
            <w:r w:rsidR="00434901" w:rsidRPr="00E80581">
              <w:rPr>
                <w:rFonts w:cstheme="minorHAnsi"/>
                <w:sz w:val="22"/>
                <w:szCs w:val="22"/>
              </w:rPr>
              <w:t>partner</w:t>
            </w:r>
            <w:r w:rsidR="00434901">
              <w:rPr>
                <w:rFonts w:cstheme="minorHAnsi"/>
                <w:sz w:val="22"/>
                <w:szCs w:val="22"/>
              </w:rPr>
              <w:t xml:space="preserve"> </w:t>
            </w:r>
            <w:r w:rsidR="00434901" w:rsidRPr="00E80581">
              <w:rPr>
                <w:rFonts w:cstheme="minorHAnsi"/>
                <w:sz w:val="22"/>
                <w:szCs w:val="22"/>
              </w:rPr>
              <w:t>with an integral role in the proposed</w:t>
            </w:r>
            <w:r w:rsidR="00215F98">
              <w:rPr>
                <w:rFonts w:cstheme="minorHAnsi"/>
                <w:sz w:val="22"/>
                <w:szCs w:val="22"/>
              </w:rPr>
              <w:t xml:space="preserve"> </w:t>
            </w:r>
            <w:r w:rsidR="00434901" w:rsidRPr="00E80581">
              <w:rPr>
                <w:rFonts w:cstheme="minorHAnsi"/>
                <w:sz w:val="22"/>
                <w:szCs w:val="22"/>
              </w:rPr>
              <w:t xml:space="preserve">research. Please outline </w:t>
            </w:r>
            <w:r w:rsidR="00434901">
              <w:rPr>
                <w:rFonts w:cstheme="minorHAnsi"/>
                <w:sz w:val="22"/>
                <w:szCs w:val="22"/>
              </w:rPr>
              <w:t xml:space="preserve">why the partner supports the proposal, </w:t>
            </w:r>
            <w:r w:rsidR="00434901" w:rsidRPr="00E80581">
              <w:rPr>
                <w:rFonts w:cstheme="minorHAnsi"/>
                <w:sz w:val="22"/>
                <w:szCs w:val="22"/>
              </w:rPr>
              <w:t xml:space="preserve">the </w:t>
            </w:r>
            <w:r w:rsidR="00434901">
              <w:rPr>
                <w:rFonts w:cstheme="minorHAnsi"/>
                <w:sz w:val="22"/>
                <w:szCs w:val="22"/>
              </w:rPr>
              <w:t xml:space="preserve">expected </w:t>
            </w:r>
            <w:r w:rsidR="00434901" w:rsidRPr="00E80581">
              <w:rPr>
                <w:rFonts w:cstheme="minorHAnsi"/>
                <w:sz w:val="22"/>
                <w:szCs w:val="22"/>
              </w:rPr>
              <w:t>benefits of the collaboration</w:t>
            </w:r>
            <w:r w:rsidR="00215F98">
              <w:rPr>
                <w:rFonts w:cstheme="minorHAnsi"/>
                <w:sz w:val="22"/>
                <w:szCs w:val="22"/>
              </w:rPr>
              <w:t>, and the potential impact for Scotland or the Scottish economy</w:t>
            </w:r>
            <w:r w:rsidR="00434901">
              <w:rPr>
                <w:rFonts w:cstheme="minorHAnsi"/>
                <w:sz w:val="22"/>
                <w:szCs w:val="22"/>
              </w:rPr>
              <w:t>. I</w:t>
            </w:r>
            <w:r w:rsidR="00434901" w:rsidRPr="00164C12">
              <w:rPr>
                <w:rFonts w:cstheme="minorHAnsi"/>
                <w:sz w:val="22"/>
                <w:szCs w:val="22"/>
              </w:rPr>
              <w:t xml:space="preserve">n-kind or cash contributions </w:t>
            </w:r>
            <w:r w:rsidR="00434901">
              <w:rPr>
                <w:rFonts w:cstheme="minorHAnsi"/>
                <w:sz w:val="22"/>
                <w:szCs w:val="22"/>
              </w:rPr>
              <w:t xml:space="preserve">from the </w:t>
            </w:r>
            <w:r w:rsidR="00434901" w:rsidRPr="00164C12">
              <w:rPr>
                <w:rFonts w:cstheme="minorHAnsi"/>
                <w:sz w:val="22"/>
                <w:szCs w:val="22"/>
              </w:rPr>
              <w:t>partner</w:t>
            </w:r>
            <w:r w:rsidR="00434901">
              <w:rPr>
                <w:rFonts w:cstheme="minorHAnsi"/>
                <w:sz w:val="22"/>
                <w:szCs w:val="22"/>
              </w:rPr>
              <w:t xml:space="preserve"> should also be provided. </w:t>
            </w:r>
          </w:p>
          <w:p w14:paraId="7A4CB44B" w14:textId="1E55D898" w:rsidR="006F1BA5" w:rsidRDefault="006F1BA5" w:rsidP="00434901">
            <w:pPr>
              <w:pStyle w:val="Default"/>
              <w:snapToGrid w:val="0"/>
              <w:rPr>
                <w:sz w:val="22"/>
                <w:szCs w:val="22"/>
              </w:rPr>
            </w:pPr>
          </w:p>
        </w:tc>
      </w:tr>
    </w:tbl>
    <w:p w14:paraId="102D9C1D" w14:textId="77777777" w:rsidR="00434901" w:rsidRDefault="00434901" w:rsidP="006663A8">
      <w:pPr>
        <w:pStyle w:val="Default"/>
        <w:snapToGrid w:val="0"/>
        <w:rPr>
          <w:sz w:val="22"/>
          <w:szCs w:val="22"/>
        </w:rPr>
      </w:pPr>
    </w:p>
    <w:p w14:paraId="40E2D058" w14:textId="224D8085" w:rsidR="000122DA" w:rsidRDefault="000122DA" w:rsidP="00031DD1">
      <w:pPr>
        <w:rPr>
          <w:szCs w:val="22"/>
        </w:rPr>
      </w:pPr>
      <w:r>
        <w:rPr>
          <w:szCs w:val="22"/>
        </w:rPr>
        <w:t xml:space="preserve">The decision of </w:t>
      </w:r>
      <w:r w:rsidR="000F38FD">
        <w:rPr>
          <w:szCs w:val="22"/>
        </w:rPr>
        <w:t xml:space="preserve">CENSIS is </w:t>
      </w:r>
      <w:r>
        <w:rPr>
          <w:szCs w:val="22"/>
        </w:rPr>
        <w:t xml:space="preserve">final and </w:t>
      </w:r>
      <w:r w:rsidR="000F38FD">
        <w:rPr>
          <w:szCs w:val="22"/>
        </w:rPr>
        <w:t xml:space="preserve">there will be no </w:t>
      </w:r>
      <w:r>
        <w:rPr>
          <w:szCs w:val="22"/>
        </w:rPr>
        <w:t>appeal</w:t>
      </w:r>
      <w:r w:rsidR="000F38FD">
        <w:rPr>
          <w:szCs w:val="22"/>
        </w:rPr>
        <w:t xml:space="preserve"> process</w:t>
      </w:r>
      <w:r>
        <w:rPr>
          <w:szCs w:val="22"/>
        </w:rPr>
        <w:t xml:space="preserve">. The decisions taken by </w:t>
      </w:r>
      <w:r w:rsidR="000F38FD">
        <w:rPr>
          <w:szCs w:val="22"/>
        </w:rPr>
        <w:t xml:space="preserve">CENSIS </w:t>
      </w:r>
      <w:proofErr w:type="gramStart"/>
      <w:r>
        <w:rPr>
          <w:szCs w:val="22"/>
        </w:rPr>
        <w:t xml:space="preserve">shall be </w:t>
      </w:r>
      <w:proofErr w:type="spellStart"/>
      <w:r>
        <w:rPr>
          <w:szCs w:val="22"/>
        </w:rPr>
        <w:t>minuted</w:t>
      </w:r>
      <w:proofErr w:type="spellEnd"/>
      <w:proofErr w:type="gramEnd"/>
      <w:r>
        <w:rPr>
          <w:szCs w:val="22"/>
        </w:rPr>
        <w:t xml:space="preserve"> and </w:t>
      </w:r>
      <w:r w:rsidR="00A403D1">
        <w:rPr>
          <w:szCs w:val="22"/>
        </w:rPr>
        <w:t xml:space="preserve">feedback will be </w:t>
      </w:r>
      <w:r>
        <w:rPr>
          <w:szCs w:val="22"/>
        </w:rPr>
        <w:t xml:space="preserve">available </w:t>
      </w:r>
      <w:r w:rsidR="000F38FD">
        <w:rPr>
          <w:szCs w:val="22"/>
        </w:rPr>
        <w:t>on request</w:t>
      </w:r>
      <w:r>
        <w:rPr>
          <w:szCs w:val="22"/>
        </w:rPr>
        <w:t>.</w:t>
      </w:r>
    </w:p>
    <w:p w14:paraId="3A31EB64" w14:textId="523760AE" w:rsidR="000122DA" w:rsidRPr="0035795F" w:rsidRDefault="000122DA" w:rsidP="00DA1250">
      <w:pPr>
        <w:ind w:left="360"/>
        <w:rPr>
          <w:lang w:val="en-US"/>
        </w:rPr>
      </w:pPr>
    </w:p>
    <w:sectPr w:rsidR="000122DA" w:rsidRPr="0035795F" w:rsidSect="00E243D7">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134" w:header="284" w:footer="284"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23984" w14:textId="77777777" w:rsidR="009A622E" w:rsidRDefault="009A622E" w:rsidP="00CF1A94">
      <w:pPr>
        <w:spacing w:line="240" w:lineRule="auto"/>
      </w:pPr>
      <w:r>
        <w:separator/>
      </w:r>
    </w:p>
  </w:endnote>
  <w:endnote w:type="continuationSeparator" w:id="0">
    <w:p w14:paraId="561410BD" w14:textId="77777777" w:rsidR="009A622E" w:rsidRDefault="009A622E" w:rsidP="00CF1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B364" w14:textId="66A23829" w:rsidR="00E243D7" w:rsidRDefault="00E243D7" w:rsidP="00E243D7">
    <w:pPr>
      <w:pStyle w:val="Footer"/>
      <w:tabs>
        <w:tab w:val="clear" w:pos="4320"/>
        <w:tab w:val="clear" w:pos="8640"/>
        <w:tab w:val="center" w:pos="4678"/>
        <w:tab w:val="right" w:pos="9354"/>
      </w:tabs>
    </w:pPr>
    <w:r>
      <w:rPr>
        <w:noProof/>
        <w:sz w:val="18"/>
      </w:rPr>
      <w:tab/>
    </w:r>
    <w:r w:rsidRPr="000115DE">
      <w:rPr>
        <w:sz w:val="18"/>
      </w:rPr>
      <w:t xml:space="preserve">Page </w:t>
    </w:r>
    <w:r w:rsidRPr="000115DE">
      <w:rPr>
        <w:sz w:val="18"/>
      </w:rPr>
      <w:fldChar w:fldCharType="begin"/>
    </w:r>
    <w:r w:rsidRPr="000115DE">
      <w:rPr>
        <w:sz w:val="18"/>
      </w:rPr>
      <w:instrText xml:space="preserve"> PAGE   \* MERGEFORMAT </w:instrText>
    </w:r>
    <w:r w:rsidRPr="000115DE">
      <w:rPr>
        <w:sz w:val="18"/>
      </w:rPr>
      <w:fldChar w:fldCharType="separate"/>
    </w:r>
    <w:r w:rsidR="009D5D67">
      <w:rPr>
        <w:noProof/>
        <w:sz w:val="18"/>
      </w:rPr>
      <w:t>4</w:t>
    </w:r>
    <w:r w:rsidRPr="000115DE">
      <w:rPr>
        <w:sz w:val="18"/>
      </w:rPr>
      <w:fldChar w:fldCharType="end"/>
    </w:r>
    <w:r w:rsidRPr="000115DE">
      <w:rPr>
        <w:sz w:val="18"/>
      </w:rPr>
      <w:t xml:space="preserve"> of </w:t>
    </w:r>
    <w:r w:rsidR="00A52A46">
      <w:rPr>
        <w:noProof/>
        <w:sz w:val="18"/>
      </w:rPr>
      <w:fldChar w:fldCharType="begin"/>
    </w:r>
    <w:r w:rsidR="00A52A46">
      <w:rPr>
        <w:noProof/>
        <w:sz w:val="18"/>
      </w:rPr>
      <w:instrText xml:space="preserve"> NUMPAGES   \* MERGEFORMAT </w:instrText>
    </w:r>
    <w:r w:rsidR="00A52A46">
      <w:rPr>
        <w:noProof/>
        <w:sz w:val="18"/>
      </w:rPr>
      <w:fldChar w:fldCharType="separate"/>
    </w:r>
    <w:r w:rsidR="009D5D67">
      <w:rPr>
        <w:noProof/>
        <w:sz w:val="18"/>
      </w:rPr>
      <w:t>5</w:t>
    </w:r>
    <w:r w:rsidR="00A52A46">
      <w:rPr>
        <w:noProof/>
        <w:sz w:val="18"/>
      </w:rPr>
      <w:fldChar w:fldCharType="end"/>
    </w:r>
    <w:r w:rsidR="00285177">
      <w:rPr>
        <w:noProof/>
        <w:sz w:val="18"/>
      </w:rPr>
      <w:tab/>
    </w:r>
    <w:r w:rsidR="00285177">
      <w:rPr>
        <w:noProof/>
        <w:sz w:val="18"/>
      </w:rPr>
      <w:fldChar w:fldCharType="begin"/>
    </w:r>
    <w:r w:rsidR="00285177">
      <w:rPr>
        <w:noProof/>
        <w:sz w:val="18"/>
      </w:rPr>
      <w:instrText xml:space="preserve"> DOCPROPERTY "DocID"  \* MERGEFORMAT </w:instrText>
    </w:r>
    <w:r w:rsidR="00285177">
      <w:rPr>
        <w:noProof/>
        <w:sz w:val="18"/>
      </w:rPr>
      <w:fldChar w:fldCharType="separate"/>
    </w:r>
    <w:r w:rsidR="00C95635">
      <w:rPr>
        <w:noProof/>
        <w:sz w:val="18"/>
      </w:rPr>
      <w:t>Custom DocID</w:t>
    </w:r>
    <w:r w:rsidR="00285177">
      <w:rPr>
        <w:noProof/>
        <w:sz w:val="18"/>
      </w:rPr>
      <w:fldChar w:fldCharType="end"/>
    </w:r>
    <w:r w:rsidR="00285177">
      <w:rPr>
        <w:noProof/>
        <w:sz w:val="18"/>
      </w:rPr>
      <w:t xml:space="preserve"> Rev-</w:t>
    </w:r>
    <w:r w:rsidR="00285177">
      <w:rPr>
        <w:noProof/>
        <w:sz w:val="18"/>
      </w:rPr>
      <w:fldChar w:fldCharType="begin"/>
    </w:r>
    <w:r w:rsidR="00285177">
      <w:rPr>
        <w:noProof/>
        <w:sz w:val="18"/>
      </w:rPr>
      <w:instrText xml:space="preserve"> DOCPROPERTY "Version"  \* MERGEFORMAT </w:instrText>
    </w:r>
    <w:r w:rsidR="00285177">
      <w:rPr>
        <w:noProof/>
        <w:sz w:val="18"/>
      </w:rPr>
      <w:fldChar w:fldCharType="separate"/>
    </w:r>
    <w:r w:rsidR="00C95635">
      <w:rPr>
        <w:noProof/>
        <w:sz w:val="18"/>
      </w:rPr>
      <w:t>Custom Version</w:t>
    </w:r>
    <w:r w:rsidR="00285177">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E18F" w14:textId="2BF6CEEF" w:rsidR="00E243D7" w:rsidRPr="000115DE" w:rsidRDefault="00E243D7" w:rsidP="00E243D7">
    <w:pPr>
      <w:pStyle w:val="Footer"/>
      <w:tabs>
        <w:tab w:val="clear" w:pos="4320"/>
        <w:tab w:val="clear" w:pos="8640"/>
        <w:tab w:val="center" w:pos="4678"/>
        <w:tab w:val="right" w:pos="9354"/>
      </w:tabs>
      <w:rPr>
        <w:sz w:val="18"/>
      </w:rPr>
    </w:pPr>
    <w:r w:rsidRPr="000115DE">
      <w:rPr>
        <w:sz w:val="18"/>
      </w:rPr>
      <w:tab/>
      <w:t xml:space="preserve">Page </w:t>
    </w:r>
    <w:r w:rsidRPr="000115DE">
      <w:rPr>
        <w:sz w:val="18"/>
      </w:rPr>
      <w:fldChar w:fldCharType="begin"/>
    </w:r>
    <w:r w:rsidRPr="000115DE">
      <w:rPr>
        <w:sz w:val="18"/>
      </w:rPr>
      <w:instrText xml:space="preserve"> PAGE   \* MERGEFORMAT </w:instrText>
    </w:r>
    <w:r w:rsidRPr="000115DE">
      <w:rPr>
        <w:sz w:val="18"/>
      </w:rPr>
      <w:fldChar w:fldCharType="separate"/>
    </w:r>
    <w:r w:rsidR="009D5D67">
      <w:rPr>
        <w:noProof/>
        <w:sz w:val="18"/>
      </w:rPr>
      <w:t>5</w:t>
    </w:r>
    <w:r w:rsidRPr="000115DE">
      <w:rPr>
        <w:sz w:val="18"/>
      </w:rPr>
      <w:fldChar w:fldCharType="end"/>
    </w:r>
    <w:r w:rsidRPr="000115DE">
      <w:rPr>
        <w:sz w:val="18"/>
      </w:rPr>
      <w:t xml:space="preserve"> of </w:t>
    </w:r>
    <w:r w:rsidR="00A52A46">
      <w:rPr>
        <w:noProof/>
        <w:sz w:val="18"/>
      </w:rPr>
      <w:fldChar w:fldCharType="begin"/>
    </w:r>
    <w:r w:rsidR="00A52A46">
      <w:rPr>
        <w:noProof/>
        <w:sz w:val="18"/>
      </w:rPr>
      <w:instrText xml:space="preserve"> NUMPAGES   \* MERGEFORMAT </w:instrText>
    </w:r>
    <w:r w:rsidR="00A52A46">
      <w:rPr>
        <w:noProof/>
        <w:sz w:val="18"/>
      </w:rPr>
      <w:fldChar w:fldCharType="separate"/>
    </w:r>
    <w:r w:rsidR="009D5D67">
      <w:rPr>
        <w:noProof/>
        <w:sz w:val="18"/>
      </w:rPr>
      <w:t>5</w:t>
    </w:r>
    <w:r w:rsidR="00A52A46">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1F50" w14:textId="61ADC118" w:rsidR="00E243D7" w:rsidRPr="00012988" w:rsidRDefault="00E243D7" w:rsidP="004A73D1">
    <w:pPr>
      <w:pStyle w:val="Footer"/>
      <w:tabs>
        <w:tab w:val="clear" w:pos="4320"/>
        <w:tab w:val="clear" w:pos="8640"/>
        <w:tab w:val="center" w:pos="4678"/>
        <w:tab w:val="right" w:pos="8222"/>
      </w:tabs>
      <w:spacing w:before="1320"/>
      <w:ind w:right="-2"/>
      <w:rPr>
        <w:sz w:val="18"/>
      </w:rPr>
    </w:pPr>
    <w:r>
      <w:rPr>
        <w:noProof/>
        <w:sz w:val="18"/>
      </w:rPr>
      <w:fldChar w:fldCharType="begin"/>
    </w:r>
    <w:r>
      <w:rPr>
        <w:noProof/>
        <w:sz w:val="18"/>
      </w:rPr>
      <w:instrText xml:space="preserve"> DOCPROPERTY "DocID"  \* MERGEFORMAT </w:instrText>
    </w:r>
    <w:r>
      <w:rPr>
        <w:noProof/>
        <w:sz w:val="18"/>
      </w:rPr>
      <w:fldChar w:fldCharType="separate"/>
    </w:r>
    <w:r w:rsidR="00C95635">
      <w:rPr>
        <w:noProof/>
        <w:sz w:val="18"/>
      </w:rPr>
      <w:t>Custom DocID</w:t>
    </w:r>
    <w:r>
      <w:rPr>
        <w:noProof/>
        <w:sz w:val="18"/>
      </w:rPr>
      <w:fldChar w:fldCharType="end"/>
    </w:r>
    <w:r>
      <w:rPr>
        <w:noProof/>
        <w:sz w:val="18"/>
      </w:rPr>
      <w:t xml:space="preserve"> Rev-</w:t>
    </w:r>
    <w:r>
      <w:rPr>
        <w:noProof/>
        <w:sz w:val="18"/>
      </w:rPr>
      <w:fldChar w:fldCharType="begin"/>
    </w:r>
    <w:r>
      <w:rPr>
        <w:noProof/>
        <w:sz w:val="18"/>
      </w:rPr>
      <w:instrText xml:space="preserve"> DOCPROPERTY "Version"  \* MERGEFORMAT </w:instrText>
    </w:r>
    <w:r>
      <w:rPr>
        <w:noProof/>
        <w:sz w:val="18"/>
      </w:rPr>
      <w:fldChar w:fldCharType="separate"/>
    </w:r>
    <w:r w:rsidR="00C95635">
      <w:rPr>
        <w:noProof/>
        <w:sz w:val="18"/>
      </w:rPr>
      <w:t>Custom Version</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6783" w14:textId="77777777" w:rsidR="009A622E" w:rsidRDefault="009A622E" w:rsidP="00CF1A94">
      <w:pPr>
        <w:spacing w:line="240" w:lineRule="auto"/>
      </w:pPr>
      <w:r>
        <w:separator/>
      </w:r>
    </w:p>
  </w:footnote>
  <w:footnote w:type="continuationSeparator" w:id="0">
    <w:p w14:paraId="113D3D0F" w14:textId="77777777" w:rsidR="009A622E" w:rsidRDefault="009A622E" w:rsidP="00CF1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9BEC" w14:textId="77777777" w:rsidR="00E243D7" w:rsidRDefault="00E243D7" w:rsidP="00E243D7">
    <w:pPr>
      <w:pStyle w:val="Header"/>
    </w:pPr>
    <w:r>
      <w:rPr>
        <w:noProof/>
        <w:lang w:eastAsia="zh-CN"/>
      </w:rPr>
      <w:drawing>
        <wp:anchor distT="0" distB="0" distL="114300" distR="114300" simplePos="0" relativeHeight="251676672" behindDoc="0" locked="0" layoutInCell="1" allowOverlap="1" wp14:anchorId="7F7A6179" wp14:editId="14FA5815">
          <wp:simplePos x="0" y="0"/>
          <wp:positionH relativeFrom="column">
            <wp:posOffset>-151765</wp:posOffset>
          </wp:positionH>
          <wp:positionV relativeFrom="paragraph">
            <wp:posOffset>252095</wp:posOffset>
          </wp:positionV>
          <wp:extent cx="1532458" cy="463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IS logo_RGB.png"/>
                  <pic:cNvPicPr/>
                </pic:nvPicPr>
                <pic:blipFill>
                  <a:blip r:embed="rId1">
                    <a:extLst>
                      <a:ext uri="{28A0092B-C50C-407E-A947-70E740481C1C}">
                        <a14:useLocalDpi xmlns:a14="http://schemas.microsoft.com/office/drawing/2010/main" val="0"/>
                      </a:ext>
                    </a:extLst>
                  </a:blip>
                  <a:stretch>
                    <a:fillRect/>
                  </a:stretch>
                </pic:blipFill>
                <pic:spPr>
                  <a:xfrm>
                    <a:off x="0" y="0"/>
                    <a:ext cx="1532458" cy="46314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8C76" w14:textId="77777777" w:rsidR="00E243D7" w:rsidRDefault="00E243D7" w:rsidP="00E243D7">
    <w:pPr>
      <w:pStyle w:val="Header"/>
      <w:tabs>
        <w:tab w:val="clear" w:pos="4320"/>
        <w:tab w:val="center" w:pos="4678"/>
      </w:tabs>
    </w:pPr>
    <w:r>
      <w:rPr>
        <w:noProof/>
        <w:lang w:eastAsia="zh-CN"/>
      </w:rPr>
      <w:drawing>
        <wp:anchor distT="0" distB="0" distL="114300" distR="114300" simplePos="0" relativeHeight="251678720" behindDoc="0" locked="0" layoutInCell="1" allowOverlap="1" wp14:anchorId="6311D5E6" wp14:editId="3E47C234">
          <wp:simplePos x="0" y="0"/>
          <wp:positionH relativeFrom="column">
            <wp:posOffset>-151130</wp:posOffset>
          </wp:positionH>
          <wp:positionV relativeFrom="paragraph">
            <wp:posOffset>252095</wp:posOffset>
          </wp:positionV>
          <wp:extent cx="1532458" cy="463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IS logo_RGB.png"/>
                  <pic:cNvPicPr/>
                </pic:nvPicPr>
                <pic:blipFill>
                  <a:blip r:embed="rId1">
                    <a:extLst>
                      <a:ext uri="{28A0092B-C50C-407E-A947-70E740481C1C}">
                        <a14:useLocalDpi xmlns:a14="http://schemas.microsoft.com/office/drawing/2010/main" val="0"/>
                      </a:ext>
                    </a:extLst>
                  </a:blip>
                  <a:stretch>
                    <a:fillRect/>
                  </a:stretch>
                </pic:blipFill>
                <pic:spPr>
                  <a:xfrm>
                    <a:off x="0" y="0"/>
                    <a:ext cx="1532458" cy="46314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5EC5" w14:textId="77777777" w:rsidR="00E243D7" w:rsidRPr="008933AD" w:rsidRDefault="00E243D7" w:rsidP="00AE3540">
    <w:pPr>
      <w:pStyle w:val="Header"/>
      <w:tabs>
        <w:tab w:val="clear" w:pos="4320"/>
        <w:tab w:val="clear" w:pos="8640"/>
      </w:tabs>
    </w:pPr>
    <w:r>
      <w:rPr>
        <w:noProof/>
        <w:lang w:eastAsia="zh-CN"/>
      </w:rPr>
      <w:drawing>
        <wp:anchor distT="0" distB="0" distL="114300" distR="114300" simplePos="0" relativeHeight="251674624" behindDoc="0" locked="0" layoutInCell="1" allowOverlap="1" wp14:anchorId="61F22313" wp14:editId="2138761B">
          <wp:simplePos x="0" y="0"/>
          <wp:positionH relativeFrom="column">
            <wp:posOffset>-151130</wp:posOffset>
          </wp:positionH>
          <wp:positionV relativeFrom="paragraph">
            <wp:posOffset>252095</wp:posOffset>
          </wp:positionV>
          <wp:extent cx="1532458" cy="463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IS logo_RGB.png"/>
                  <pic:cNvPicPr/>
                </pic:nvPicPr>
                <pic:blipFill>
                  <a:blip r:embed="rId1">
                    <a:extLst>
                      <a:ext uri="{28A0092B-C50C-407E-A947-70E740481C1C}">
                        <a14:useLocalDpi xmlns:a14="http://schemas.microsoft.com/office/drawing/2010/main" val="0"/>
                      </a:ext>
                    </a:extLst>
                  </a:blip>
                  <a:stretch>
                    <a:fillRect/>
                  </a:stretch>
                </pic:blipFill>
                <pic:spPr>
                  <a:xfrm>
                    <a:off x="0" y="0"/>
                    <a:ext cx="1532458" cy="46314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3AD">
      <w:rPr>
        <w:noProof/>
        <w:lang w:eastAsia="zh-CN"/>
      </w:rPr>
      <w:drawing>
        <wp:anchor distT="0" distB="0" distL="114300" distR="114300" simplePos="0" relativeHeight="251665408" behindDoc="1" locked="1" layoutInCell="1" allowOverlap="1" wp14:anchorId="0E17BA5C" wp14:editId="3F551903">
          <wp:simplePos x="0" y="0"/>
          <wp:positionH relativeFrom="page">
            <wp:posOffset>5943600</wp:posOffset>
          </wp:positionH>
          <wp:positionV relativeFrom="page">
            <wp:posOffset>9410700</wp:posOffset>
          </wp:positionV>
          <wp:extent cx="1419225"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png"/>
                  <pic:cNvPicPr/>
                </pic:nvPicPr>
                <pic:blipFill rotWithShape="1">
                  <a:blip r:embed="rId2" cstate="print">
                    <a:extLst>
                      <a:ext uri="{28A0092B-C50C-407E-A947-70E740481C1C}">
                        <a14:useLocalDpi xmlns:a14="http://schemas.microsoft.com/office/drawing/2010/main" val="0"/>
                      </a:ext>
                    </a:extLst>
                  </a:blip>
                  <a:srcRect l="67273" t="80380" r="2598" b="3077"/>
                  <a:stretch/>
                </pic:blipFill>
                <pic:spPr bwMode="auto">
                  <a:xfrm>
                    <a:off x="0" y="0"/>
                    <a:ext cx="1419225" cy="11049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FE7"/>
    <w:multiLevelType w:val="hybridMultilevel"/>
    <w:tmpl w:val="EE24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0E18"/>
    <w:multiLevelType w:val="hybridMultilevel"/>
    <w:tmpl w:val="353CA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D42F6"/>
    <w:multiLevelType w:val="hybridMultilevel"/>
    <w:tmpl w:val="303E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0641"/>
    <w:multiLevelType w:val="hybridMultilevel"/>
    <w:tmpl w:val="C42EB58A"/>
    <w:lvl w:ilvl="0" w:tplc="E572D71C">
      <w:start w:val="1"/>
      <w:numFmt w:val="bullet"/>
      <w:pStyle w:val="Bullet"/>
      <w:lvlText w:val="·"/>
      <w:lvlJc w:val="left"/>
      <w:pPr>
        <w:ind w:left="473" w:hanging="360"/>
      </w:pPr>
      <w:rPr>
        <w:rFonts w:ascii="Symbol" w:hAnsi="Symbol" w:cs="Times New Roman" w:hint="default"/>
        <w:caps w:val="0"/>
        <w:strike w:val="0"/>
        <w:dstrike w:val="0"/>
        <w:vanish w:val="0"/>
        <w:color w:val="auto"/>
        <w:sz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325A"/>
    <w:multiLevelType w:val="hybridMultilevel"/>
    <w:tmpl w:val="D39E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B6E77"/>
    <w:multiLevelType w:val="hybridMultilevel"/>
    <w:tmpl w:val="4716A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85ECA"/>
    <w:multiLevelType w:val="hybridMultilevel"/>
    <w:tmpl w:val="814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240A4"/>
    <w:multiLevelType w:val="hybridMultilevel"/>
    <w:tmpl w:val="427A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57C70"/>
    <w:multiLevelType w:val="hybridMultilevel"/>
    <w:tmpl w:val="DA48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46537"/>
    <w:multiLevelType w:val="hybridMultilevel"/>
    <w:tmpl w:val="9B44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2244D"/>
    <w:multiLevelType w:val="hybridMultilevel"/>
    <w:tmpl w:val="B94C434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F08F1"/>
    <w:multiLevelType w:val="hybridMultilevel"/>
    <w:tmpl w:val="9232163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23193"/>
    <w:multiLevelType w:val="hybridMultilevel"/>
    <w:tmpl w:val="07B86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24C03"/>
    <w:multiLevelType w:val="hybridMultilevel"/>
    <w:tmpl w:val="BC08F0E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06E6A"/>
    <w:multiLevelType w:val="hybridMultilevel"/>
    <w:tmpl w:val="5E2AE512"/>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22616"/>
    <w:multiLevelType w:val="hybridMultilevel"/>
    <w:tmpl w:val="E1C0348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24B24"/>
    <w:multiLevelType w:val="hybridMultilevel"/>
    <w:tmpl w:val="EF6A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104F5"/>
    <w:multiLevelType w:val="hybridMultilevel"/>
    <w:tmpl w:val="C4EC2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6699F"/>
    <w:multiLevelType w:val="hybridMultilevel"/>
    <w:tmpl w:val="9DA6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00F2E"/>
    <w:multiLevelType w:val="hybridMultilevel"/>
    <w:tmpl w:val="C494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47DCA"/>
    <w:multiLevelType w:val="hybridMultilevel"/>
    <w:tmpl w:val="0E5E6BA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76B2D"/>
    <w:multiLevelType w:val="hybridMultilevel"/>
    <w:tmpl w:val="CE96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47929"/>
    <w:multiLevelType w:val="hybridMultilevel"/>
    <w:tmpl w:val="DF1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F6AFD"/>
    <w:multiLevelType w:val="hybridMultilevel"/>
    <w:tmpl w:val="50F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E41"/>
    <w:multiLevelType w:val="hybridMultilevel"/>
    <w:tmpl w:val="AB160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3490F"/>
    <w:multiLevelType w:val="hybridMultilevel"/>
    <w:tmpl w:val="25627DAA"/>
    <w:lvl w:ilvl="0" w:tplc="08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D82A52"/>
    <w:multiLevelType w:val="hybridMultilevel"/>
    <w:tmpl w:val="7C2C0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F7EA4"/>
    <w:multiLevelType w:val="hybridMultilevel"/>
    <w:tmpl w:val="4208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4657E"/>
    <w:multiLevelType w:val="hybridMultilevel"/>
    <w:tmpl w:val="9ADC6A76"/>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FDF0675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A72BB"/>
    <w:multiLevelType w:val="hybridMultilevel"/>
    <w:tmpl w:val="850A7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5F3FD9"/>
    <w:multiLevelType w:val="hybridMultilevel"/>
    <w:tmpl w:val="72F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8"/>
  </w:num>
  <w:num w:numId="5">
    <w:abstractNumId w:val="5"/>
  </w:num>
  <w:num w:numId="6">
    <w:abstractNumId w:val="17"/>
  </w:num>
  <w:num w:numId="7">
    <w:abstractNumId w:val="2"/>
  </w:num>
  <w:num w:numId="8">
    <w:abstractNumId w:val="12"/>
  </w:num>
  <w:num w:numId="9">
    <w:abstractNumId w:val="9"/>
  </w:num>
  <w:num w:numId="10">
    <w:abstractNumId w:val="16"/>
  </w:num>
  <w:num w:numId="11">
    <w:abstractNumId w:val="7"/>
  </w:num>
  <w:num w:numId="12">
    <w:abstractNumId w:val="1"/>
  </w:num>
  <w:num w:numId="13">
    <w:abstractNumId w:val="28"/>
  </w:num>
  <w:num w:numId="14">
    <w:abstractNumId w:val="14"/>
  </w:num>
  <w:num w:numId="15">
    <w:abstractNumId w:val="10"/>
  </w:num>
  <w:num w:numId="16">
    <w:abstractNumId w:val="25"/>
  </w:num>
  <w:num w:numId="17">
    <w:abstractNumId w:val="21"/>
  </w:num>
  <w:num w:numId="18">
    <w:abstractNumId w:val="6"/>
  </w:num>
  <w:num w:numId="19">
    <w:abstractNumId w:val="24"/>
  </w:num>
  <w:num w:numId="20">
    <w:abstractNumId w:val="26"/>
  </w:num>
  <w:num w:numId="21">
    <w:abstractNumId w:val="13"/>
  </w:num>
  <w:num w:numId="22">
    <w:abstractNumId w:val="29"/>
  </w:num>
  <w:num w:numId="23">
    <w:abstractNumId w:val="27"/>
  </w:num>
  <w:num w:numId="24">
    <w:abstractNumId w:val="11"/>
  </w:num>
  <w:num w:numId="25">
    <w:abstractNumId w:val="15"/>
  </w:num>
  <w:num w:numId="26">
    <w:abstractNumId w:val="20"/>
  </w:num>
  <w:num w:numId="27">
    <w:abstractNumId w:val="22"/>
  </w:num>
  <w:num w:numId="28">
    <w:abstractNumId w:val="30"/>
  </w:num>
  <w:num w:numId="29">
    <w:abstractNumId w:val="0"/>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52"/>
    <w:rsid w:val="000020A0"/>
    <w:rsid w:val="00004529"/>
    <w:rsid w:val="00006B16"/>
    <w:rsid w:val="000115DE"/>
    <w:rsid w:val="000122DA"/>
    <w:rsid w:val="00012988"/>
    <w:rsid w:val="0002093B"/>
    <w:rsid w:val="00031DD1"/>
    <w:rsid w:val="00044DCA"/>
    <w:rsid w:val="00047004"/>
    <w:rsid w:val="000563E5"/>
    <w:rsid w:val="00062F3B"/>
    <w:rsid w:val="000729E3"/>
    <w:rsid w:val="00082DE6"/>
    <w:rsid w:val="00090CC5"/>
    <w:rsid w:val="000A2A09"/>
    <w:rsid w:val="000B739F"/>
    <w:rsid w:val="000D01F1"/>
    <w:rsid w:val="000D1F3D"/>
    <w:rsid w:val="000E4028"/>
    <w:rsid w:val="000F08F3"/>
    <w:rsid w:val="000F38FD"/>
    <w:rsid w:val="0010387B"/>
    <w:rsid w:val="001076A2"/>
    <w:rsid w:val="00111370"/>
    <w:rsid w:val="0012165A"/>
    <w:rsid w:val="00127042"/>
    <w:rsid w:val="001306B4"/>
    <w:rsid w:val="0013210D"/>
    <w:rsid w:val="0014050D"/>
    <w:rsid w:val="00156FFD"/>
    <w:rsid w:val="0016321E"/>
    <w:rsid w:val="00170C9E"/>
    <w:rsid w:val="00181AA3"/>
    <w:rsid w:val="00182979"/>
    <w:rsid w:val="00183ACE"/>
    <w:rsid w:val="00192607"/>
    <w:rsid w:val="00192E75"/>
    <w:rsid w:val="0019662D"/>
    <w:rsid w:val="001A771D"/>
    <w:rsid w:val="001B35D2"/>
    <w:rsid w:val="001C027A"/>
    <w:rsid w:val="001C4C72"/>
    <w:rsid w:val="001C4F71"/>
    <w:rsid w:val="001E1C84"/>
    <w:rsid w:val="001F3BA3"/>
    <w:rsid w:val="00215F98"/>
    <w:rsid w:val="00222DEE"/>
    <w:rsid w:val="00253B94"/>
    <w:rsid w:val="0025486D"/>
    <w:rsid w:val="002644A2"/>
    <w:rsid w:val="002656B7"/>
    <w:rsid w:val="002840DA"/>
    <w:rsid w:val="00285177"/>
    <w:rsid w:val="00287776"/>
    <w:rsid w:val="002C7BCF"/>
    <w:rsid w:val="002D250C"/>
    <w:rsid w:val="002E1B2F"/>
    <w:rsid w:val="003228EA"/>
    <w:rsid w:val="00323A42"/>
    <w:rsid w:val="003253E2"/>
    <w:rsid w:val="00327256"/>
    <w:rsid w:val="0035359A"/>
    <w:rsid w:val="0035795F"/>
    <w:rsid w:val="0036283E"/>
    <w:rsid w:val="00385E35"/>
    <w:rsid w:val="003B710F"/>
    <w:rsid w:val="003E1BE1"/>
    <w:rsid w:val="003E201B"/>
    <w:rsid w:val="003F2E46"/>
    <w:rsid w:val="003F7850"/>
    <w:rsid w:val="00404769"/>
    <w:rsid w:val="00423614"/>
    <w:rsid w:val="00434901"/>
    <w:rsid w:val="004A4E1F"/>
    <w:rsid w:val="004A60AF"/>
    <w:rsid w:val="004A73D1"/>
    <w:rsid w:val="004C0AA5"/>
    <w:rsid w:val="004F3344"/>
    <w:rsid w:val="00501B9B"/>
    <w:rsid w:val="005020B9"/>
    <w:rsid w:val="0050596C"/>
    <w:rsid w:val="00505AE9"/>
    <w:rsid w:val="0051203C"/>
    <w:rsid w:val="00521063"/>
    <w:rsid w:val="005322C0"/>
    <w:rsid w:val="00537704"/>
    <w:rsid w:val="00546E34"/>
    <w:rsid w:val="0058137A"/>
    <w:rsid w:val="005926B8"/>
    <w:rsid w:val="005A3EBD"/>
    <w:rsid w:val="005C6F0C"/>
    <w:rsid w:val="00600A98"/>
    <w:rsid w:val="00630529"/>
    <w:rsid w:val="006359D2"/>
    <w:rsid w:val="00646E89"/>
    <w:rsid w:val="006600EB"/>
    <w:rsid w:val="006603ED"/>
    <w:rsid w:val="0066220E"/>
    <w:rsid w:val="006652A5"/>
    <w:rsid w:val="006663A8"/>
    <w:rsid w:val="006802F9"/>
    <w:rsid w:val="006A7479"/>
    <w:rsid w:val="006E526B"/>
    <w:rsid w:val="006F1BA5"/>
    <w:rsid w:val="00703094"/>
    <w:rsid w:val="0072730C"/>
    <w:rsid w:val="007733DE"/>
    <w:rsid w:val="00776158"/>
    <w:rsid w:val="00777052"/>
    <w:rsid w:val="00780CF6"/>
    <w:rsid w:val="007B0704"/>
    <w:rsid w:val="007C2B84"/>
    <w:rsid w:val="007C4443"/>
    <w:rsid w:val="007C776B"/>
    <w:rsid w:val="007E0C12"/>
    <w:rsid w:val="008074A6"/>
    <w:rsid w:val="00812B7B"/>
    <w:rsid w:val="0082781D"/>
    <w:rsid w:val="0084312D"/>
    <w:rsid w:val="008449AD"/>
    <w:rsid w:val="008541FD"/>
    <w:rsid w:val="0085462D"/>
    <w:rsid w:val="00854D0B"/>
    <w:rsid w:val="00881E08"/>
    <w:rsid w:val="00884864"/>
    <w:rsid w:val="0088574E"/>
    <w:rsid w:val="00885D77"/>
    <w:rsid w:val="00886175"/>
    <w:rsid w:val="008933AD"/>
    <w:rsid w:val="008A2D5A"/>
    <w:rsid w:val="008C0457"/>
    <w:rsid w:val="008D6355"/>
    <w:rsid w:val="008E6BCD"/>
    <w:rsid w:val="00910887"/>
    <w:rsid w:val="00940B13"/>
    <w:rsid w:val="009660AB"/>
    <w:rsid w:val="00994730"/>
    <w:rsid w:val="009A412A"/>
    <w:rsid w:val="009A622E"/>
    <w:rsid w:val="009B29C2"/>
    <w:rsid w:val="009B4F57"/>
    <w:rsid w:val="009B7752"/>
    <w:rsid w:val="009C4E4F"/>
    <w:rsid w:val="009D5D67"/>
    <w:rsid w:val="009D7A9E"/>
    <w:rsid w:val="009F7B75"/>
    <w:rsid w:val="00A15084"/>
    <w:rsid w:val="00A403D1"/>
    <w:rsid w:val="00A50B2F"/>
    <w:rsid w:val="00A52A46"/>
    <w:rsid w:val="00A61F7F"/>
    <w:rsid w:val="00A63C5A"/>
    <w:rsid w:val="00A75978"/>
    <w:rsid w:val="00AB24E9"/>
    <w:rsid w:val="00AB7653"/>
    <w:rsid w:val="00AC7A7A"/>
    <w:rsid w:val="00AE3540"/>
    <w:rsid w:val="00AF5BEC"/>
    <w:rsid w:val="00B139BF"/>
    <w:rsid w:val="00B23F45"/>
    <w:rsid w:val="00B257E9"/>
    <w:rsid w:val="00B551D6"/>
    <w:rsid w:val="00B70C86"/>
    <w:rsid w:val="00B96B1E"/>
    <w:rsid w:val="00BA47D4"/>
    <w:rsid w:val="00BB5261"/>
    <w:rsid w:val="00BC18B4"/>
    <w:rsid w:val="00BD2C8D"/>
    <w:rsid w:val="00BE55E1"/>
    <w:rsid w:val="00C03619"/>
    <w:rsid w:val="00C10261"/>
    <w:rsid w:val="00C145B0"/>
    <w:rsid w:val="00C25716"/>
    <w:rsid w:val="00C42812"/>
    <w:rsid w:val="00C52778"/>
    <w:rsid w:val="00C63254"/>
    <w:rsid w:val="00C91625"/>
    <w:rsid w:val="00C95635"/>
    <w:rsid w:val="00CA1472"/>
    <w:rsid w:val="00CA4B99"/>
    <w:rsid w:val="00CC1C13"/>
    <w:rsid w:val="00CC4974"/>
    <w:rsid w:val="00CE70A5"/>
    <w:rsid w:val="00CF1A94"/>
    <w:rsid w:val="00D054E3"/>
    <w:rsid w:val="00D05921"/>
    <w:rsid w:val="00D17067"/>
    <w:rsid w:val="00D33EC4"/>
    <w:rsid w:val="00D47B52"/>
    <w:rsid w:val="00D61ADC"/>
    <w:rsid w:val="00D65310"/>
    <w:rsid w:val="00D74FB0"/>
    <w:rsid w:val="00D80419"/>
    <w:rsid w:val="00D90A4B"/>
    <w:rsid w:val="00D91083"/>
    <w:rsid w:val="00DA1250"/>
    <w:rsid w:val="00DA6624"/>
    <w:rsid w:val="00DB2E67"/>
    <w:rsid w:val="00DC7AF9"/>
    <w:rsid w:val="00DF1A84"/>
    <w:rsid w:val="00E102B0"/>
    <w:rsid w:val="00E110A3"/>
    <w:rsid w:val="00E17F4C"/>
    <w:rsid w:val="00E243D7"/>
    <w:rsid w:val="00E2519D"/>
    <w:rsid w:val="00E41F14"/>
    <w:rsid w:val="00E432F3"/>
    <w:rsid w:val="00E46D04"/>
    <w:rsid w:val="00E538B0"/>
    <w:rsid w:val="00E76E0F"/>
    <w:rsid w:val="00EA3779"/>
    <w:rsid w:val="00EB6E0E"/>
    <w:rsid w:val="00ED1D4E"/>
    <w:rsid w:val="00ED210B"/>
    <w:rsid w:val="00ED38B6"/>
    <w:rsid w:val="00ED459A"/>
    <w:rsid w:val="00EF6DB5"/>
    <w:rsid w:val="00F0132A"/>
    <w:rsid w:val="00F02403"/>
    <w:rsid w:val="00F158DF"/>
    <w:rsid w:val="00F26E77"/>
    <w:rsid w:val="00F3618C"/>
    <w:rsid w:val="00F52F57"/>
    <w:rsid w:val="00F84293"/>
    <w:rsid w:val="00F926A0"/>
    <w:rsid w:val="00F97FC8"/>
    <w:rsid w:val="00FA2307"/>
    <w:rsid w:val="00FA2A86"/>
    <w:rsid w:val="00FD6DB3"/>
    <w:rsid w:val="00FE6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58E4B4"/>
  <w15:docId w15:val="{DACE5E9F-425D-244B-B0D7-7E1247F8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0E"/>
    <w:pPr>
      <w:spacing w:after="120" w:line="280" w:lineRule="atLeast"/>
    </w:pPr>
    <w:rPr>
      <w:rFonts w:asciiTheme="minorHAnsi" w:hAnsiTheme="minorHAnsi"/>
      <w:sz w:val="22"/>
      <w:szCs w:val="24"/>
    </w:rPr>
  </w:style>
  <w:style w:type="paragraph" w:styleId="Heading1">
    <w:name w:val="heading 1"/>
    <w:basedOn w:val="Normal"/>
    <w:next w:val="Normal"/>
    <w:link w:val="Heading1Char"/>
    <w:qFormat/>
    <w:rsid w:val="001B35D2"/>
    <w:pPr>
      <w:keepNext/>
      <w:keepLines/>
      <w:pBdr>
        <w:bottom w:val="single" w:sz="4" w:space="1" w:color="10B7FF" w:themeColor="text2" w:themeTint="99"/>
      </w:pBdr>
      <w:spacing w:before="360" w:after="60" w:line="276" w:lineRule="auto"/>
      <w:outlineLvl w:val="0"/>
    </w:pPr>
    <w:rPr>
      <w:b/>
      <w:bCs/>
      <w:color w:val="10B7FF" w:themeColor="text2" w:themeTint="99"/>
      <w:sz w:val="28"/>
      <w:szCs w:val="28"/>
    </w:rPr>
  </w:style>
  <w:style w:type="paragraph" w:styleId="Heading2">
    <w:name w:val="heading 2"/>
    <w:basedOn w:val="Normal"/>
    <w:next w:val="Normal"/>
    <w:link w:val="Heading2Char"/>
    <w:uiPriority w:val="9"/>
    <w:qFormat/>
    <w:rsid w:val="0066220E"/>
    <w:pPr>
      <w:keepNext/>
      <w:keepLines/>
      <w:spacing w:before="120" w:after="0" w:line="240" w:lineRule="auto"/>
      <w:outlineLvl w:val="1"/>
    </w:pPr>
    <w:rPr>
      <w:rFonts w:asciiTheme="majorHAnsi" w:hAnsiTheme="majorHAnsi"/>
      <w:b/>
      <w:color w:val="10B7FF" w:themeColor="text2" w:themeTint="99"/>
      <w:sz w:val="24"/>
    </w:rPr>
  </w:style>
  <w:style w:type="paragraph" w:styleId="Heading3">
    <w:name w:val="heading 3"/>
    <w:basedOn w:val="Normal"/>
    <w:next w:val="Normal"/>
    <w:link w:val="Heading3Char"/>
    <w:semiHidden/>
    <w:qFormat/>
    <w:rsid w:val="003F7850"/>
    <w:pPr>
      <w:spacing w:line="320" w:lineRule="atLeast"/>
      <w:ind w:left="119"/>
      <w:outlineLvl w:val="2"/>
    </w:pPr>
    <w:rPr>
      <w:rFonts w:asciiTheme="majorHAnsi" w:hAnsiTheme="majorHAnsi"/>
      <w:b/>
      <w:bCs/>
      <w:smallCaps/>
      <w:color w:val="009FDF" w:themeColor="accent1"/>
      <w:spacing w:val="12"/>
      <w:sz w:val="24"/>
    </w:rPr>
  </w:style>
  <w:style w:type="paragraph" w:styleId="Heading4">
    <w:name w:val="heading 4"/>
    <w:basedOn w:val="Normal"/>
    <w:next w:val="Normal"/>
    <w:link w:val="Heading4Char"/>
    <w:semiHidden/>
    <w:qFormat/>
    <w:rsid w:val="00521063"/>
    <w:pPr>
      <w:spacing w:line="240" w:lineRule="atLeast"/>
      <w:outlineLvl w:val="3"/>
    </w:pPr>
    <w:rPr>
      <w:rFonts w:asciiTheme="majorHAnsi" w:hAnsiTheme="majorHAnsi"/>
      <w:b/>
      <w:caps/>
      <w:spacing w:val="14"/>
    </w:rPr>
  </w:style>
  <w:style w:type="paragraph" w:styleId="Heading5">
    <w:name w:val="heading 5"/>
    <w:basedOn w:val="Normal"/>
    <w:next w:val="Normal"/>
    <w:link w:val="Heading5Char"/>
    <w:semiHidden/>
    <w:qFormat/>
    <w:rsid w:val="00423614"/>
    <w:pPr>
      <w:spacing w:before="360" w:after="80" w:line="300" w:lineRule="atLeas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2361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23614"/>
    <w:rPr>
      <w:rFonts w:ascii="Tahoma" w:eastAsia="Times New Roman" w:hAnsi="Tahoma" w:cs="Tahoma"/>
      <w:sz w:val="16"/>
      <w:szCs w:val="16"/>
      <w:lang w:val="en-US"/>
    </w:rPr>
  </w:style>
  <w:style w:type="paragraph" w:styleId="Footer">
    <w:name w:val="footer"/>
    <w:basedOn w:val="Normal"/>
    <w:link w:val="FooterChar"/>
    <w:semiHidden/>
    <w:rsid w:val="00423614"/>
    <w:pPr>
      <w:tabs>
        <w:tab w:val="center" w:pos="4320"/>
        <w:tab w:val="right" w:pos="8640"/>
      </w:tabs>
    </w:pPr>
  </w:style>
  <w:style w:type="character" w:customStyle="1" w:styleId="FooterChar">
    <w:name w:val="Footer Char"/>
    <w:basedOn w:val="DefaultParagraphFont"/>
    <w:link w:val="Footer"/>
    <w:semiHidden/>
    <w:rsid w:val="00423614"/>
    <w:rPr>
      <w:rFonts w:ascii="Century Gothic" w:eastAsia="Times New Roman" w:hAnsi="Century Gothic"/>
      <w:sz w:val="18"/>
      <w:szCs w:val="24"/>
      <w:lang w:val="en-US"/>
    </w:rPr>
  </w:style>
  <w:style w:type="paragraph" w:customStyle="1" w:styleId="Bullet">
    <w:name w:val="Bullet"/>
    <w:basedOn w:val="Normal"/>
    <w:rsid w:val="00423614"/>
    <w:pPr>
      <w:numPr>
        <w:numId w:val="1"/>
      </w:numPr>
      <w:spacing w:after="80"/>
    </w:pPr>
  </w:style>
  <w:style w:type="paragraph" w:styleId="Header">
    <w:name w:val="header"/>
    <w:basedOn w:val="Normal"/>
    <w:link w:val="HeaderChar"/>
    <w:semiHidden/>
    <w:rsid w:val="00423614"/>
    <w:pPr>
      <w:tabs>
        <w:tab w:val="center" w:pos="4320"/>
        <w:tab w:val="right" w:pos="8640"/>
      </w:tabs>
    </w:pPr>
  </w:style>
  <w:style w:type="character" w:customStyle="1" w:styleId="HeaderChar">
    <w:name w:val="Header Char"/>
    <w:basedOn w:val="DefaultParagraphFont"/>
    <w:link w:val="Header"/>
    <w:semiHidden/>
    <w:rsid w:val="00423614"/>
    <w:rPr>
      <w:rFonts w:ascii="Century Gothic" w:eastAsia="Times New Roman" w:hAnsi="Century Gothic"/>
      <w:sz w:val="18"/>
      <w:szCs w:val="24"/>
      <w:lang w:val="en-US"/>
    </w:rPr>
  </w:style>
  <w:style w:type="character" w:customStyle="1" w:styleId="Heading1Char">
    <w:name w:val="Heading 1 Char"/>
    <w:basedOn w:val="DefaultParagraphFont"/>
    <w:link w:val="Heading1"/>
    <w:uiPriority w:val="9"/>
    <w:rsid w:val="001B35D2"/>
    <w:rPr>
      <w:rFonts w:asciiTheme="minorHAnsi" w:hAnsiTheme="minorHAnsi"/>
      <w:b/>
      <w:bCs/>
      <w:color w:val="10B7FF" w:themeColor="text2" w:themeTint="99"/>
      <w:sz w:val="28"/>
      <w:szCs w:val="28"/>
    </w:rPr>
  </w:style>
  <w:style w:type="character" w:customStyle="1" w:styleId="Heading2Char">
    <w:name w:val="Heading 2 Char"/>
    <w:basedOn w:val="DefaultParagraphFont"/>
    <w:link w:val="Heading2"/>
    <w:uiPriority w:val="9"/>
    <w:rsid w:val="0066220E"/>
    <w:rPr>
      <w:rFonts w:asciiTheme="majorHAnsi" w:hAnsiTheme="majorHAnsi"/>
      <w:b/>
      <w:color w:val="10B7FF" w:themeColor="text2" w:themeTint="99"/>
      <w:sz w:val="24"/>
      <w:szCs w:val="24"/>
    </w:rPr>
  </w:style>
  <w:style w:type="character" w:customStyle="1" w:styleId="Heading3Char">
    <w:name w:val="Heading 3 Char"/>
    <w:basedOn w:val="DefaultParagraphFont"/>
    <w:link w:val="Heading3"/>
    <w:semiHidden/>
    <w:rsid w:val="003F7850"/>
    <w:rPr>
      <w:rFonts w:asciiTheme="majorHAnsi" w:hAnsiTheme="majorHAnsi"/>
      <w:b/>
      <w:bCs/>
      <w:smallCaps/>
      <w:color w:val="009FDF" w:themeColor="accent1"/>
      <w:spacing w:val="12"/>
      <w:sz w:val="24"/>
      <w:szCs w:val="24"/>
    </w:rPr>
  </w:style>
  <w:style w:type="character" w:customStyle="1" w:styleId="Heading4Char">
    <w:name w:val="Heading 4 Char"/>
    <w:basedOn w:val="DefaultParagraphFont"/>
    <w:link w:val="Heading4"/>
    <w:semiHidden/>
    <w:rsid w:val="00D33EC4"/>
    <w:rPr>
      <w:rFonts w:asciiTheme="majorHAnsi" w:hAnsiTheme="majorHAnsi"/>
      <w:b/>
      <w:caps/>
      <w:spacing w:val="14"/>
      <w:sz w:val="21"/>
      <w:szCs w:val="24"/>
    </w:rPr>
  </w:style>
  <w:style w:type="character" w:customStyle="1" w:styleId="Heading5Char">
    <w:name w:val="Heading 5 Char"/>
    <w:basedOn w:val="DefaultParagraphFont"/>
    <w:link w:val="Heading5"/>
    <w:semiHidden/>
    <w:rsid w:val="00D33EC4"/>
    <w:rPr>
      <w:rFonts w:asciiTheme="minorHAnsi" w:hAnsiTheme="minorHAnsi"/>
      <w:sz w:val="24"/>
      <w:szCs w:val="24"/>
      <w:lang w:val="en-US"/>
    </w:rPr>
  </w:style>
  <w:style w:type="character" w:styleId="Hyperlink">
    <w:name w:val="Hyperlink"/>
    <w:basedOn w:val="DefaultParagraphFont"/>
    <w:rsid w:val="00423614"/>
    <w:rPr>
      <w:color w:val="C4D600" w:themeColor="hyperlink"/>
      <w:u w:val="single"/>
    </w:rPr>
  </w:style>
  <w:style w:type="table" w:styleId="TableGrid">
    <w:name w:val="Table Grid"/>
    <w:basedOn w:val="TableNormal"/>
    <w:rsid w:val="0042361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0AF"/>
    <w:pPr>
      <w:ind w:left="720"/>
      <w:contextualSpacing/>
    </w:pPr>
  </w:style>
  <w:style w:type="character" w:styleId="CommentReference">
    <w:name w:val="annotation reference"/>
    <w:basedOn w:val="DefaultParagraphFont"/>
    <w:uiPriority w:val="99"/>
    <w:semiHidden/>
    <w:unhideWhenUsed/>
    <w:rsid w:val="00DF1A84"/>
    <w:rPr>
      <w:sz w:val="18"/>
      <w:szCs w:val="18"/>
    </w:rPr>
  </w:style>
  <w:style w:type="paragraph" w:styleId="CommentText">
    <w:name w:val="annotation text"/>
    <w:basedOn w:val="Normal"/>
    <w:link w:val="CommentTextChar"/>
    <w:uiPriority w:val="99"/>
    <w:semiHidden/>
    <w:unhideWhenUsed/>
    <w:rsid w:val="00DF1A84"/>
    <w:pPr>
      <w:spacing w:line="240" w:lineRule="auto"/>
    </w:pPr>
    <w:rPr>
      <w:sz w:val="24"/>
    </w:rPr>
  </w:style>
  <w:style w:type="character" w:customStyle="1" w:styleId="CommentTextChar">
    <w:name w:val="Comment Text Char"/>
    <w:basedOn w:val="DefaultParagraphFont"/>
    <w:link w:val="CommentText"/>
    <w:uiPriority w:val="99"/>
    <w:semiHidden/>
    <w:rsid w:val="00DF1A84"/>
    <w:rPr>
      <w:rFonts w:asciiTheme="minorHAnsi" w:hAnsiTheme="minorHAnsi"/>
      <w:sz w:val="24"/>
      <w:szCs w:val="24"/>
    </w:rPr>
  </w:style>
  <w:style w:type="paragraph" w:styleId="CommentSubject">
    <w:name w:val="annotation subject"/>
    <w:basedOn w:val="CommentText"/>
    <w:next w:val="CommentText"/>
    <w:link w:val="CommentSubjectChar"/>
    <w:uiPriority w:val="99"/>
    <w:semiHidden/>
    <w:unhideWhenUsed/>
    <w:rsid w:val="00DF1A84"/>
    <w:rPr>
      <w:b/>
      <w:bCs/>
      <w:sz w:val="20"/>
      <w:szCs w:val="20"/>
    </w:rPr>
  </w:style>
  <w:style w:type="character" w:customStyle="1" w:styleId="CommentSubjectChar">
    <w:name w:val="Comment Subject Char"/>
    <w:basedOn w:val="CommentTextChar"/>
    <w:link w:val="CommentSubject"/>
    <w:uiPriority w:val="99"/>
    <w:semiHidden/>
    <w:rsid w:val="00DF1A84"/>
    <w:rPr>
      <w:rFonts w:asciiTheme="minorHAnsi" w:hAnsiTheme="minorHAnsi"/>
      <w:b/>
      <w:bCs/>
      <w:sz w:val="24"/>
      <w:szCs w:val="24"/>
    </w:rPr>
  </w:style>
  <w:style w:type="paragraph" w:styleId="BodyText">
    <w:name w:val="Body Text"/>
    <w:basedOn w:val="Normal"/>
    <w:link w:val="BodyTextChar"/>
    <w:qFormat/>
    <w:rsid w:val="006E526B"/>
    <w:pPr>
      <w:spacing w:line="220" w:lineRule="atLeast"/>
    </w:pPr>
    <w:rPr>
      <w:szCs w:val="20"/>
    </w:rPr>
  </w:style>
  <w:style w:type="character" w:customStyle="1" w:styleId="BodyTextChar">
    <w:name w:val="Body Text Char"/>
    <w:basedOn w:val="DefaultParagraphFont"/>
    <w:link w:val="BodyText"/>
    <w:rsid w:val="006E526B"/>
    <w:rPr>
      <w:rFonts w:asciiTheme="minorHAnsi" w:hAnsiTheme="minorHAnsi"/>
      <w:sz w:val="22"/>
    </w:rPr>
  </w:style>
  <w:style w:type="paragraph" w:styleId="Title">
    <w:name w:val="Title"/>
    <w:basedOn w:val="Heading2"/>
    <w:next w:val="Normal"/>
    <w:link w:val="TitleChar"/>
    <w:uiPriority w:val="10"/>
    <w:qFormat/>
    <w:rsid w:val="001B35D2"/>
    <w:pPr>
      <w:spacing w:before="0" w:after="240"/>
      <w:jc w:val="center"/>
    </w:pPr>
    <w:rPr>
      <w:sz w:val="36"/>
    </w:rPr>
  </w:style>
  <w:style w:type="character" w:customStyle="1" w:styleId="TitleChar">
    <w:name w:val="Title Char"/>
    <w:basedOn w:val="DefaultParagraphFont"/>
    <w:link w:val="Title"/>
    <w:uiPriority w:val="10"/>
    <w:rsid w:val="001B35D2"/>
    <w:rPr>
      <w:rFonts w:asciiTheme="majorHAnsi" w:hAnsiTheme="majorHAnsi"/>
      <w:b/>
      <w:color w:val="10B7FF" w:themeColor="text2" w:themeTint="99"/>
      <w:sz w:val="36"/>
      <w:szCs w:val="24"/>
    </w:rPr>
  </w:style>
  <w:style w:type="paragraph" w:styleId="Revision">
    <w:name w:val="Revision"/>
    <w:hidden/>
    <w:uiPriority w:val="99"/>
    <w:semiHidden/>
    <w:rsid w:val="00181AA3"/>
    <w:rPr>
      <w:rFonts w:asciiTheme="minorHAnsi" w:hAnsiTheme="minorHAnsi"/>
      <w:sz w:val="22"/>
      <w:szCs w:val="24"/>
    </w:rPr>
  </w:style>
  <w:style w:type="paragraph" w:styleId="NoSpacing">
    <w:name w:val="No Spacing"/>
    <w:basedOn w:val="BodyText"/>
    <w:uiPriority w:val="1"/>
    <w:qFormat/>
    <w:rsid w:val="00C25716"/>
    <w:pPr>
      <w:spacing w:after="0"/>
    </w:pPr>
  </w:style>
  <w:style w:type="paragraph" w:customStyle="1" w:styleId="Default">
    <w:name w:val="Default"/>
    <w:rsid w:val="009B7752"/>
    <w:pPr>
      <w:autoSpaceDE w:val="0"/>
      <w:autoSpaceDN w:val="0"/>
      <w:adjustRightInd w:val="0"/>
    </w:pPr>
    <w:rPr>
      <w:rFonts w:ascii="Calibri" w:hAnsi="Calibri" w:cs="Calibri"/>
      <w:color w:val="000000"/>
      <w:sz w:val="24"/>
      <w:szCs w:val="24"/>
      <w:lang w:val="en-US"/>
    </w:rPr>
  </w:style>
  <w:style w:type="character" w:customStyle="1" w:styleId="UnresolvedMention">
    <w:name w:val="Unresolved Mention"/>
    <w:basedOn w:val="DefaultParagraphFont"/>
    <w:uiPriority w:val="99"/>
    <w:semiHidden/>
    <w:unhideWhenUsed/>
    <w:rsid w:val="00BB5261"/>
    <w:rPr>
      <w:color w:val="605E5C"/>
      <w:shd w:val="clear" w:color="auto" w:fill="E1DFDD"/>
    </w:rPr>
  </w:style>
  <w:style w:type="paragraph" w:styleId="NormalWeb">
    <w:name w:val="Normal (Web)"/>
    <w:basedOn w:val="Normal"/>
    <w:uiPriority w:val="99"/>
    <w:semiHidden/>
    <w:unhideWhenUsed/>
    <w:rsid w:val="0036283E"/>
    <w:pPr>
      <w:spacing w:before="100" w:beforeAutospacing="1" w:after="100" w:afterAutospacing="1" w:line="240" w:lineRule="auto"/>
    </w:pPr>
    <w:rPr>
      <w:rFonts w:ascii="Times New Roman" w:hAnsi="Times New Roman"/>
      <w:sz w:val="24"/>
    </w:rPr>
  </w:style>
  <w:style w:type="paragraph" w:customStyle="1" w:styleId="Formlabel">
    <w:name w:val="Form label"/>
    <w:basedOn w:val="Normal"/>
    <w:rsid w:val="00884864"/>
    <w:pPr>
      <w:spacing w:after="0" w:line="240" w:lineRule="auto"/>
    </w:pPr>
    <w:rPr>
      <w:rFonts w:ascii="Times New Roman" w:hAnsi="Times New Roman"/>
      <w:sz w:val="24"/>
      <w:lang w:eastAsia="en-GB"/>
    </w:rPr>
  </w:style>
  <w:style w:type="character" w:styleId="FollowedHyperlink">
    <w:name w:val="FollowedHyperlink"/>
    <w:basedOn w:val="DefaultParagraphFont"/>
    <w:uiPriority w:val="99"/>
    <w:semiHidden/>
    <w:unhideWhenUsed/>
    <w:rsid w:val="001076A2"/>
    <w:rPr>
      <w:color w:val="009F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74186">
      <w:bodyDiv w:val="1"/>
      <w:marLeft w:val="0"/>
      <w:marRight w:val="0"/>
      <w:marTop w:val="0"/>
      <w:marBottom w:val="0"/>
      <w:divBdr>
        <w:top w:val="none" w:sz="0" w:space="0" w:color="auto"/>
        <w:left w:val="none" w:sz="0" w:space="0" w:color="auto"/>
        <w:bottom w:val="none" w:sz="0" w:space="0" w:color="auto"/>
        <w:right w:val="none" w:sz="0" w:space="0" w:color="auto"/>
      </w:divBdr>
    </w:div>
    <w:div w:id="344596329">
      <w:bodyDiv w:val="1"/>
      <w:marLeft w:val="0"/>
      <w:marRight w:val="0"/>
      <w:marTop w:val="0"/>
      <w:marBottom w:val="0"/>
      <w:divBdr>
        <w:top w:val="none" w:sz="0" w:space="0" w:color="auto"/>
        <w:left w:val="none" w:sz="0" w:space="0" w:color="auto"/>
        <w:bottom w:val="none" w:sz="0" w:space="0" w:color="auto"/>
        <w:right w:val="none" w:sz="0" w:space="0" w:color="auto"/>
      </w:divBdr>
      <w:divsChild>
        <w:div w:id="1750692679">
          <w:marLeft w:val="0"/>
          <w:marRight w:val="0"/>
          <w:marTop w:val="0"/>
          <w:marBottom w:val="0"/>
          <w:divBdr>
            <w:top w:val="none" w:sz="0" w:space="0" w:color="auto"/>
            <w:left w:val="none" w:sz="0" w:space="0" w:color="auto"/>
            <w:bottom w:val="none" w:sz="0" w:space="0" w:color="auto"/>
            <w:right w:val="none" w:sz="0" w:space="0" w:color="auto"/>
          </w:divBdr>
        </w:div>
      </w:divsChild>
    </w:div>
    <w:div w:id="809131074">
      <w:bodyDiv w:val="1"/>
      <w:marLeft w:val="0"/>
      <w:marRight w:val="0"/>
      <w:marTop w:val="0"/>
      <w:marBottom w:val="0"/>
      <w:divBdr>
        <w:top w:val="none" w:sz="0" w:space="0" w:color="auto"/>
        <w:left w:val="none" w:sz="0" w:space="0" w:color="auto"/>
        <w:bottom w:val="none" w:sz="0" w:space="0" w:color="auto"/>
        <w:right w:val="none" w:sz="0" w:space="0" w:color="auto"/>
      </w:divBdr>
    </w:div>
    <w:div w:id="1608581252">
      <w:bodyDiv w:val="1"/>
      <w:marLeft w:val="0"/>
      <w:marRight w:val="0"/>
      <w:marTop w:val="0"/>
      <w:marBottom w:val="0"/>
      <w:divBdr>
        <w:top w:val="none" w:sz="0" w:space="0" w:color="auto"/>
        <w:left w:val="none" w:sz="0" w:space="0" w:color="auto"/>
        <w:bottom w:val="none" w:sz="0" w:space="0" w:color="auto"/>
        <w:right w:val="none" w:sz="0" w:space="0" w:color="auto"/>
      </w:divBdr>
      <w:divsChild>
        <w:div w:id="205403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an.williams@cens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kri.org/skills/funding-for-research-train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SIS">
      <a:dk1>
        <a:srgbClr val="3898C7"/>
      </a:dk1>
      <a:lt1>
        <a:sysClr val="window" lastClr="FFFFFF"/>
      </a:lt1>
      <a:dk2>
        <a:srgbClr val="004F70"/>
      </a:dk2>
      <a:lt2>
        <a:srgbClr val="FFFFFE"/>
      </a:lt2>
      <a:accent1>
        <a:srgbClr val="009FDF"/>
      </a:accent1>
      <a:accent2>
        <a:srgbClr val="004F70"/>
      </a:accent2>
      <a:accent3>
        <a:srgbClr val="C4D600"/>
      </a:accent3>
      <a:accent4>
        <a:srgbClr val="FFFFFE"/>
      </a:accent4>
      <a:accent5>
        <a:srgbClr val="FFFFFE"/>
      </a:accent5>
      <a:accent6>
        <a:srgbClr val="FFFFFE"/>
      </a:accent6>
      <a:hlink>
        <a:srgbClr val="C4D600"/>
      </a:hlink>
      <a:folHlink>
        <a:srgbClr val="009FDF"/>
      </a:folHlink>
    </a:clrScheme>
    <a:fontScheme name="CENSI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368D3F32.dotm</Template>
  <TotalTime>118</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Set Title in Properties</vt:lpstr>
    </vt:vector>
  </TitlesOfParts>
  <Manager/>
  <Company>CENSIS</Company>
  <LinksUpToDate>false</LinksUpToDate>
  <CharactersWithSpaces>10138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Title in Properties</dc:title>
  <dc:subject/>
  <dc:creator>Sian Williams</dc:creator>
  <cp:keywords>CENSIS</cp:keywords>
  <dc:description/>
  <cp:lastModifiedBy>Sian Williams</cp:lastModifiedBy>
  <cp:revision>9</cp:revision>
  <cp:lastPrinted>2019-04-29T08:20:00Z</cp:lastPrinted>
  <dcterms:created xsi:type="dcterms:W3CDTF">2018-10-09T09:12:00Z</dcterms:created>
  <dcterms:modified xsi:type="dcterms:W3CDTF">2019-06-12T10:50:00Z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Custom Version</vt:lpwstr>
  </property>
  <property fmtid="{D5CDD505-2E9C-101B-9397-08002B2CF9AE}" pid="3" name="DocID">
    <vt:lpwstr>Custom DocID</vt:lpwstr>
  </property>
  <property fmtid="{D5CDD505-2E9C-101B-9397-08002B2CF9AE}" pid="4" name="Template Version">
    <vt:lpwstr>2.0</vt:lpwstr>
  </property>
</Properties>
</file>